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120"/>
      </w:pPr>
      <w:r>
        <w:rPr>
          <w:b/>
          <w:bCs/>
          <w:color w:val="2563EB"/>
          <w:spacing w:val="20"/>
          <w:sz w:val="18"/>
          <w:szCs w:val="18"/>
        </w:rPr>
        <w:t xml:space="preserve">TEMPLATE · REGULATION (EU) 2024/1689</w:t>
      </w:r>
    </w:p>
    <w:p>
      <w:pPr>
        <w:spacing w:after="80"/>
      </w:pPr>
      <w:r>
        <w:rPr>
          <w:b/>
          <w:bCs/>
          <w:color w:val="16181D"/>
          <w:sz w:val="60"/>
          <w:szCs w:val="60"/>
        </w:rPr>
        <w:t xml:space="preserve">Technical documentation</w:t>
      </w:r>
    </w:p>
    <w:p>
      <w:pPr>
        <w:spacing w:after="480"/>
      </w:pPr>
      <w:r>
        <w:rPr>
          <w:color w:val="6B7280"/>
          <w:sz w:val="28"/>
          <w:szCs w:val="28"/>
        </w:rPr>
        <w:t xml:space="preserve">under Article 11 and Annex IV of the AI Act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574"/>
        <w:gridCol w:w="5832"/>
      </w:tblGrid>
      <w:tr>
        <w:trPr>
          <w:tblHeader/>
        </w:trPr>
        <w:tc>
          <w:tcPr>
            <w:tcW w:type="pct" w:w="1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Item</w:t>
            </w:r>
          </w:p>
        </w:tc>
        <w:tc>
          <w:tcPr>
            <w:tcW w:type="pct" w:w="3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Content</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AI system (name)</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[system name]</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System version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[e.g. 2.3.0]</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Provider (name, address)</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[company, street, postcode, city, country]</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Intended purpose (short)</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[one sentence]</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Classification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[e.g. high-risk under Annex III point 4(a)]</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Document version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[e.g. 1.0]</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Date</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[DD/MM/YYYY]</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Document owner</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role]</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Contributors</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[names, roles]</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Approved by</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role, date]</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Confidentiality</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[internal / confidential]</w:t>
            </w:r>
          </w:p>
        </w:tc>
      </w:tr>
    </w:tbl>
    <w:p>
      <w:pPr>
        <w:spacing w:after="3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06"/>
      </w:tblGrid>
      <w:tr>
        <w:tc>
          <w:tcPr>
            <w:tcBorders>
              <w:top w:val="single" w:color="F59E0B" w:sz="6"/>
              <w:left w:val="single" w:color="F59E0B" w:sz="24"/>
              <w:bottom w:val="single" w:color="F59E0B" w:sz="6"/>
              <w:right w:val="single" w:color="F59E0B" w:sz="6"/>
            </w:tcBorders>
            <w:shd w:fill="FEF3C7" w:color="auto" w:val="clear"/>
            <w:tcMar>
              <w:top w:type="dxa" w:w="140"/>
              <w:left w:type="dxa" w:w="180"/>
              <w:bottom w:type="dxa" w:w="140"/>
              <w:right w:type="dxa" w:w="180"/>
            </w:tcMar>
          </w:tcPr>
          <w:p>
            <w:pPr>
              <w:spacing w:after="60"/>
            </w:pPr>
            <w:r>
              <w:rPr>
                <w:b/>
                <w:bCs/>
                <w:color w:val="92400E"/>
              </w:rPr>
              <w:t xml:space="preserve">Notice</w:t>
            </w:r>
          </w:p>
          <w:p>
            <w:r>
              <w:rPr>
                <w:color w:val="78350F"/>
                <w:sz w:val="19"/>
                <w:szCs w:val="19"/>
              </w:rPr>
              <w:t xml:space="preserve">This template is a working aid by SimpleAct and not legal advice. It paraphrases the structure of Annex IV. Only the wording of Annex IV to Regulation (EU) 2024/1689 as currently in force (last amended by Regulation (EU) 2026/1744) is authoritative. Delete the grey italic guidance before release.</w:t>
            </w:r>
          </w:p>
        </w:tc>
      </w:tr>
    </w:tbl>
    <w:p>
      <w:pPr>
        <w:spacing w:after="160"/>
      </w:pPr>
    </w:p>
    <w:p>
      <w:r>
        <w:rPr>
          <w:color w:val="6B7280"/>
          <w:sz w:val="17"/>
          <w:szCs w:val="17"/>
        </w:rPr>
        <w:t xml:space="preserve">Template status: 3 October 2026 · simpleact.eu/ai-act-documentation</w:t>
      </w:r>
    </w:p>
    <w:p>
      <w:r>
        <w:br w:type="page"/>
      </w:r>
    </w:p>
    <w:p>
      <w:pPr>
        <w:pStyle w:val="Title"/>
      </w:pPr>
      <w:r>
        <w:t xml:space="preserve">Change history</w:t>
      </w:r>
    </w:p>
    <w:p>
      <w:pPr>
        <w:spacing w:after="80"/>
      </w:pPr>
      <w:r>
        <w:rPr>
          <w:i/>
          <w:iCs/>
          <w:color w:val="6B7280"/>
          <w:sz w:val="19"/>
          <w:szCs w:val="19"/>
        </w:rPr>
        <w:t xml:space="preserve">Every version that is shipped, handed to an authority or used for a conformity assessment gets its own row. For substantial modifications (section 6), also note whether a new conformity assessment was needed.</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1129"/>
        <w:gridCol w:w="1317"/>
        <w:gridCol w:w="2822"/>
        <w:gridCol w:w="1505"/>
        <w:gridCol w:w="1693"/>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Sections</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Change</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Trigger</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Author / approval</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0.1</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[DD/MM/YYYY]</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all</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First draft</w:t>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Development start</w:t>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400"/>
      </w:pPr>
    </w:p>
    <w:p>
      <w:pPr>
        <w:pStyle w:val="Title"/>
      </w:pPr>
      <w:r>
        <w:t xml:space="preserve">Contents</w:t>
      </w:r>
    </w:p>
    <w:p>
      <w:pPr>
        <w:spacing w:after="80"/>
      </w:pPr>
      <w:r>
        <w:rPr>
          <w:i/>
          <w:iCs/>
          <w:color w:val="6B7280"/>
          <w:sz w:val="19"/>
          <w:szCs w:val="19"/>
        </w:rPr>
        <w:t xml:space="preserve">The table of contents is a Word field. Once filled in: right-click → "Update field" → "Update entire table".</w:t>
      </w:r>
    </w:p>
    <w:sdt>
      <w:sdtPr>
        <w:alias w:val="Contents"/>
      </w:sdtPr>
      <w:sdtContent>
        <w:p>
          <w:pPr>
            <w:pStyle w:val="TOC1"/>
            <w:tabs>
              <w:tab w:val="clear" w:pos="9026"/>
              <w:tab w:val="right" w:pos="9025" w:leader="dot"/>
            </w:tabs>
          </w:pPr>
          <w:r>
            <w:fldChar w:fldCharType="begin" w:dirty="true"/>
            <w:instrText xml:space="preserve">TOC \h \o "1-2"</w:instrText>
            <w:fldChar w:fldCharType="separate"/>
          </w:r>
          <w:r>
            <w:t xml:space="default">0 How to use this template</w:t>
            <w:tab/>
            <w:t xml:space="default"/>
          </w:r>
        </w:p>
        <w:p>
          <w:pPr>
            <w:pStyle w:val="TOC1"/>
            <w:tabs>
              <w:tab w:val="clear" w:pos="9026"/>
              <w:tab w:val="right" w:pos="9025" w:leader="dot"/>
            </w:tabs>
          </w:pPr>
          <w:r>
            <w:t xml:space="default">1 General description of the AI system</w:t>
            <w:tab/>
            <w:t xml:space="default"/>
          </w:r>
        </w:p>
        <w:p>
          <w:pPr>
            <w:pStyle w:val="TOC2"/>
            <w:tabs>
              <w:tab w:val="clear" w:pos="8786"/>
              <w:tab w:val="right" w:pos="9025" w:leader="dot"/>
            </w:tabs>
          </w:pPr>
          <w:r>
            <w:t xml:space="default">1.1 Intended purpose, provider and version</w:t>
            <w:tab/>
            <w:t xml:space="default"/>
          </w:r>
        </w:p>
        <w:p>
          <w:pPr>
            <w:pStyle w:val="TOC2"/>
            <w:tabs>
              <w:tab w:val="clear" w:pos="8786"/>
              <w:tab w:val="right" w:pos="9025" w:leader="dot"/>
            </w:tabs>
          </w:pPr>
          <w:r>
            <w:t xml:space="default">1.2 Interaction with hardware, software and other AI systems</w:t>
            <w:tab/>
            <w:t xml:space="default"/>
          </w:r>
        </w:p>
        <w:p>
          <w:pPr>
            <w:pStyle w:val="TOC2"/>
            <w:tabs>
              <w:tab w:val="clear" w:pos="8786"/>
              <w:tab w:val="right" w:pos="9025" w:leader="dot"/>
            </w:tabs>
          </w:pPr>
          <w:r>
            <w:t xml:space="default">1.3 Software and firmware versions, update requirements</w:t>
            <w:tab/>
            <w:t xml:space="default"/>
          </w:r>
        </w:p>
        <w:p>
          <w:pPr>
            <w:pStyle w:val="TOC2"/>
            <w:tabs>
              <w:tab w:val="clear" w:pos="8786"/>
              <w:tab w:val="right" w:pos="9025" w:leader="dot"/>
            </w:tabs>
          </w:pPr>
          <w:r>
            <w:t xml:space="default">1.4 Forms in which the system is placed on the market or put into service</w:t>
            <w:tab/>
            <w:t xml:space="default"/>
          </w:r>
        </w:p>
        <w:p>
          <w:pPr>
            <w:pStyle w:val="TOC2"/>
            <w:tabs>
              <w:tab w:val="clear" w:pos="8786"/>
              <w:tab w:val="right" w:pos="9025" w:leader="dot"/>
            </w:tabs>
          </w:pPr>
          <w:r>
            <w:t xml:space="default">1.5 Hardware the system is intended to run on</w:t>
            <w:tab/>
            <w:t xml:space="default"/>
          </w:r>
        </w:p>
        <w:p>
          <w:pPr>
            <w:pStyle w:val="TOC2"/>
            <w:tabs>
              <w:tab w:val="clear" w:pos="8786"/>
              <w:tab w:val="right" w:pos="9025" w:leader="dot"/>
            </w:tabs>
          </w:pPr>
          <w:r>
            <w:t xml:space="default">1.6 Illustrations (where part of a product)</w:t>
            <w:tab/>
            <w:t xml:space="default"/>
          </w:r>
        </w:p>
        <w:p>
          <w:pPr>
            <w:pStyle w:val="TOC2"/>
            <w:tabs>
              <w:tab w:val="clear" w:pos="8786"/>
              <w:tab w:val="right" w:pos="9025" w:leader="dot"/>
            </w:tabs>
          </w:pPr>
          <w:r>
            <w:t xml:space="default">1.7 User interface for the deployer</w:t>
            <w:tab/>
            <w:t xml:space="default"/>
          </w:r>
        </w:p>
        <w:p>
          <w:pPr>
            <w:pStyle w:val="TOC2"/>
            <w:tabs>
              <w:tab w:val="clear" w:pos="8786"/>
              <w:tab w:val="right" w:pos="9025" w:leader="dot"/>
            </w:tabs>
          </w:pPr>
          <w:r>
            <w:t xml:space="default">1.8 Instructions for use for the deployer</w:t>
            <w:tab/>
            <w:t xml:space="default"/>
          </w:r>
        </w:p>
        <w:p>
          <w:pPr>
            <w:pStyle w:val="TOC1"/>
            <w:tabs>
              <w:tab w:val="clear" w:pos="9026"/>
              <w:tab w:val="right" w:pos="9025" w:leader="dot"/>
            </w:tabs>
          </w:pPr>
          <w:r>
            <w:t xml:space="default">2 Elements and development process</w:t>
            <w:tab/>
            <w:t xml:space="default"/>
          </w:r>
        </w:p>
        <w:p>
          <w:pPr>
            <w:pStyle w:val="TOC2"/>
            <w:tabs>
              <w:tab w:val="clear" w:pos="8786"/>
              <w:tab w:val="right" w:pos="9025" w:leader="dot"/>
            </w:tabs>
          </w:pPr>
          <w:r>
            <w:t xml:space="default">2.1 Development methods and steps</w:t>
            <w:tab/>
            <w:t xml:space="default"/>
          </w:r>
        </w:p>
        <w:p>
          <w:pPr>
            <w:pStyle w:val="TOC2"/>
            <w:tabs>
              <w:tab w:val="clear" w:pos="8786"/>
              <w:tab w:val="right" w:pos="9025" w:leader="dot"/>
            </w:tabs>
          </w:pPr>
          <w:r>
            <w:t xml:space="default">2.2 Design specifications</w:t>
            <w:tab/>
            <w:t xml:space="default"/>
          </w:r>
        </w:p>
        <w:p>
          <w:pPr>
            <w:pStyle w:val="TOC2"/>
            <w:tabs>
              <w:tab w:val="clear" w:pos="8786"/>
              <w:tab w:val="right" w:pos="9025" w:leader="dot"/>
            </w:tabs>
          </w:pPr>
          <w:r>
            <w:t xml:space="default">2.3 System architecture and computational resources</w:t>
            <w:tab/>
            <w:t xml:space="default"/>
          </w:r>
        </w:p>
        <w:p>
          <w:pPr>
            <w:pStyle w:val="TOC2"/>
            <w:tabs>
              <w:tab w:val="clear" w:pos="8786"/>
              <w:tab w:val="right" w:pos="9025" w:leader="dot"/>
            </w:tabs>
          </w:pPr>
          <w:r>
            <w:t xml:space="default">2.4 Data requirements and datasheets</w:t>
            <w:tab/>
            <w:t xml:space="default"/>
          </w:r>
        </w:p>
        <w:p>
          <w:pPr>
            <w:pStyle w:val="TOC2"/>
            <w:tabs>
              <w:tab w:val="clear" w:pos="8786"/>
              <w:tab w:val="right" w:pos="9025" w:leader="dot"/>
            </w:tabs>
          </w:pPr>
          <w:r>
            <w:t xml:space="default">2.5 Assessment of human oversight measures (Article 14)</w:t>
            <w:tab/>
            <w:t xml:space="default"/>
          </w:r>
        </w:p>
        <w:p>
          <w:pPr>
            <w:pStyle w:val="TOC2"/>
            <w:tabs>
              <w:tab w:val="clear" w:pos="8786"/>
              <w:tab w:val="right" w:pos="9025" w:leader="dot"/>
            </w:tabs>
          </w:pPr>
          <w:r>
            <w:t xml:space="default">2.6 Pre-determined changes</w:t>
            <w:tab/>
            <w:t xml:space="default"/>
          </w:r>
        </w:p>
        <w:p>
          <w:pPr>
            <w:pStyle w:val="TOC2"/>
            <w:tabs>
              <w:tab w:val="clear" w:pos="8786"/>
              <w:tab w:val="right" w:pos="9025" w:leader="dot"/>
            </w:tabs>
          </w:pPr>
          <w:r>
            <w:t xml:space="default">2.7 Validation and testing procedures</w:t>
            <w:tab/>
            <w:t xml:space="default"/>
          </w:r>
        </w:p>
        <w:p>
          <w:pPr>
            <w:pStyle w:val="TOC2"/>
            <w:tabs>
              <w:tab w:val="clear" w:pos="8786"/>
              <w:tab w:val="right" w:pos="9025" w:leader="dot"/>
            </w:tabs>
          </w:pPr>
          <w:r>
            <w:t xml:space="default">2.8 Cybersecurity measures</w:t>
            <w:tab/>
            <w:t xml:space="default"/>
          </w:r>
        </w:p>
        <w:p>
          <w:pPr>
            <w:pStyle w:val="TOC1"/>
            <w:tabs>
              <w:tab w:val="clear" w:pos="9026"/>
              <w:tab w:val="right" w:pos="9025" w:leader="dot"/>
            </w:tabs>
          </w:pPr>
          <w:r>
            <w:t xml:space="default">3 Monitoring, functioning and control</w:t>
            <w:tab/>
            <w:t xml:space="default"/>
          </w:r>
        </w:p>
        <w:p>
          <w:pPr>
            <w:pStyle w:val="TOC2"/>
            <w:tabs>
              <w:tab w:val="clear" w:pos="8786"/>
              <w:tab w:val="right" w:pos="9025" w:leader="dot"/>
            </w:tabs>
          </w:pPr>
          <w:r>
            <w:t xml:space="default">3.1 Capabilities and limitations in performance</w:t>
            <w:tab/>
            <w:t xml:space="default"/>
          </w:r>
        </w:p>
        <w:p>
          <w:pPr>
            <w:pStyle w:val="TOC2"/>
            <w:tabs>
              <w:tab w:val="clear" w:pos="8786"/>
              <w:tab w:val="right" w:pos="9025" w:leader="dot"/>
            </w:tabs>
          </w:pPr>
          <w:r>
            <w:t xml:space="default">3.2 Foreseeable unintended outcomes and sources of risk</w:t>
            <w:tab/>
            <w:t xml:space="default"/>
          </w:r>
        </w:p>
        <w:p>
          <w:pPr>
            <w:pStyle w:val="TOC2"/>
            <w:tabs>
              <w:tab w:val="clear" w:pos="8786"/>
              <w:tab w:val="right" w:pos="9025" w:leader="dot"/>
            </w:tabs>
          </w:pPr>
          <w:r>
            <w:t xml:space="default">3.3 Human oversight measures</w:t>
            <w:tab/>
            <w:t xml:space="default"/>
          </w:r>
        </w:p>
        <w:p>
          <w:pPr>
            <w:pStyle w:val="TOC2"/>
            <w:tabs>
              <w:tab w:val="clear" w:pos="8786"/>
              <w:tab w:val="right" w:pos="9025" w:leader="dot"/>
            </w:tabs>
          </w:pPr>
          <w:r>
            <w:t xml:space="default">3.4 Input data specifications</w:t>
            <w:tab/>
            <w:t xml:space="default"/>
          </w:r>
        </w:p>
        <w:p>
          <w:pPr>
            <w:pStyle w:val="TOC1"/>
            <w:tabs>
              <w:tab w:val="clear" w:pos="9026"/>
              <w:tab w:val="right" w:pos="9025" w:leader="dot"/>
            </w:tabs>
          </w:pPr>
          <w:r>
            <w:t xml:space="default">4 Appropriateness of the performance metrics</w:t>
            <w:tab/>
            <w:t xml:space="default"/>
          </w:r>
        </w:p>
        <w:p>
          <w:pPr>
            <w:pStyle w:val="TOC2"/>
            <w:tabs>
              <w:tab w:val="clear" w:pos="8786"/>
              <w:tab w:val="right" w:pos="9025" w:leader="dot"/>
            </w:tabs>
          </w:pPr>
          <w:r>
            <w:t xml:space="default">4.1 Metrics and rationale</w:t>
            <w:tab/>
            <w:t xml:space="default"/>
          </w:r>
        </w:p>
        <w:p>
          <w:pPr>
            <w:pStyle w:val="TOC1"/>
            <w:tabs>
              <w:tab w:val="clear" w:pos="9026"/>
              <w:tab w:val="right" w:pos="9025" w:leader="dot"/>
            </w:tabs>
          </w:pPr>
          <w:r>
            <w:t xml:space="default">5 Risk management system (Article 9)</w:t>
            <w:tab/>
            <w:t xml:space="default"/>
          </w:r>
        </w:p>
        <w:p>
          <w:pPr>
            <w:pStyle w:val="TOC2"/>
            <w:tabs>
              <w:tab w:val="clear" w:pos="8786"/>
              <w:tab w:val="right" w:pos="9025" w:leader="dot"/>
            </w:tabs>
          </w:pPr>
          <w:r>
            <w:t xml:space="default">5.1 Process and responsibilities</w:t>
            <w:tab/>
            <w:t xml:space="default"/>
          </w:r>
        </w:p>
        <w:p>
          <w:pPr>
            <w:pStyle w:val="TOC2"/>
            <w:tabs>
              <w:tab w:val="clear" w:pos="8786"/>
              <w:tab w:val="right" w:pos="9025" w:leader="dot"/>
            </w:tabs>
          </w:pPr>
          <w:r>
            <w:t xml:space="default">5.2 Risk register (extract or reference)</w:t>
            <w:tab/>
            <w:t xml:space="default"/>
          </w:r>
        </w:p>
        <w:p>
          <w:pPr>
            <w:pStyle w:val="TOC2"/>
            <w:tabs>
              <w:tab w:val="clear" w:pos="8786"/>
              <w:tab w:val="right" w:pos="9025" w:leader="dot"/>
            </w:tabs>
          </w:pPr>
          <w:r>
            <w:t xml:space="default">5.3 Testing of risk mitigation</w:t>
            <w:tab/>
            <w:t xml:space="default"/>
          </w:r>
        </w:p>
        <w:p>
          <w:pPr>
            <w:pStyle w:val="TOC1"/>
            <w:tabs>
              <w:tab w:val="clear" w:pos="9026"/>
              <w:tab w:val="right" w:pos="9025" w:leader="dot"/>
            </w:tabs>
          </w:pPr>
          <w:r>
            <w:t xml:space="default">6 Changes through the lifecycle</w:t>
            <w:tab/>
            <w:t xml:space="default"/>
          </w:r>
        </w:p>
        <w:p>
          <w:pPr>
            <w:pStyle w:val="TOC2"/>
            <w:tabs>
              <w:tab w:val="clear" w:pos="8786"/>
              <w:tab w:val="right" w:pos="9025" w:leader="dot"/>
            </w:tabs>
          </w:pPr>
          <w:r>
            <w:t xml:space="default">6.1 Change log</w:t>
            <w:tab/>
            <w:t xml:space="default"/>
          </w:r>
        </w:p>
        <w:p>
          <w:pPr>
            <w:pStyle w:val="TOC1"/>
            <w:tabs>
              <w:tab w:val="clear" w:pos="9026"/>
              <w:tab w:val="right" w:pos="9025" w:leader="dot"/>
            </w:tabs>
          </w:pPr>
          <w:r>
            <w:t xml:space="default">7 Harmonised standards applied and other solutions</w:t>
            <w:tab/>
            <w:t xml:space="default"/>
          </w:r>
        </w:p>
        <w:p>
          <w:pPr>
            <w:pStyle w:val="TOC2"/>
            <w:tabs>
              <w:tab w:val="clear" w:pos="8786"/>
              <w:tab w:val="right" w:pos="9025" w:leader="dot"/>
            </w:tabs>
          </w:pPr>
          <w:r>
            <w:t xml:space="default">7.1 Standards and specifications</w:t>
            <w:tab/>
            <w:t xml:space="default"/>
          </w:r>
        </w:p>
        <w:p>
          <w:pPr>
            <w:pStyle w:val="TOC2"/>
            <w:tabs>
              <w:tab w:val="clear" w:pos="8786"/>
              <w:tab w:val="right" w:pos="9025" w:leader="dot"/>
            </w:tabs>
          </w:pPr>
          <w:r>
            <w:t xml:space="default">7.2 Solutions without a harmonised standard</w:t>
            <w:tab/>
            <w:t xml:space="default"/>
          </w:r>
        </w:p>
        <w:p>
          <w:pPr>
            <w:pStyle w:val="TOC1"/>
            <w:tabs>
              <w:tab w:val="clear" w:pos="9026"/>
              <w:tab w:val="right" w:pos="9025" w:leader="dot"/>
            </w:tabs>
          </w:pPr>
          <w:r>
            <w:t xml:space="default">8 EU declaration of conformity (Article 47)</w:t>
            <w:tab/>
            <w:t xml:space="default"/>
          </w:r>
        </w:p>
        <w:p>
          <w:pPr>
            <w:pStyle w:val="TOC2"/>
            <w:tabs>
              <w:tab w:val="clear" w:pos="8786"/>
              <w:tab w:val="right" w:pos="9025" w:leader="dot"/>
            </w:tabs>
          </w:pPr>
          <w:r>
            <w:t xml:space="default">8.1 Copy of the declaration of conformity</w:t>
            <w:tab/>
            <w:t xml:space="default"/>
          </w:r>
        </w:p>
        <w:p>
          <w:pPr>
            <w:pStyle w:val="TOC1"/>
            <w:tabs>
              <w:tab w:val="clear" w:pos="9026"/>
              <w:tab w:val="right" w:pos="9025" w:leader="dot"/>
            </w:tabs>
          </w:pPr>
          <w:r>
            <w:t xml:space="default">9 Post-market monitoring (Article 72)</w:t>
            <w:tab/>
            <w:t xml:space="default"/>
          </w:r>
        </w:p>
        <w:p>
          <w:pPr>
            <w:pStyle w:val="TOC2"/>
            <w:tabs>
              <w:tab w:val="clear" w:pos="8786"/>
              <w:tab w:val="right" w:pos="9025" w:leader="dot"/>
            </w:tabs>
          </w:pPr>
          <w:r>
            <w:t xml:space="default">9.1 Monitoring system</w:t>
            <w:tab/>
            <w:t xml:space="default"/>
          </w:r>
        </w:p>
        <w:p>
          <w:pPr>
            <w:pStyle w:val="TOC2"/>
            <w:tabs>
              <w:tab w:val="clear" w:pos="8786"/>
              <w:tab w:val="right" w:pos="9025" w:leader="dot"/>
            </w:tabs>
          </w:pPr>
          <w:r>
            <w:t xml:space="default">9.2 Post-market monitoring plan</w:t>
            <w:tab/>
            <w:t xml:space="default"/>
          </w:r>
        </w:p>
        <w:p>
          <w:pPr>
            <w:pStyle w:val="TOC1"/>
            <w:tabs>
              <w:tab w:val="clear" w:pos="9026"/>
              <w:tab w:val="right" w:pos="9025" w:leader="dot"/>
            </w:tabs>
          </w:pPr>
          <w:r>
            <w:t xml:space="default">Annex index</w:t>
            <w:tab/>
            <w:t xml:space="default"/>
          </w:r>
          <w:r>
            <w:fldChar w:fldCharType="end"/>
          </w:r>
        </w:p>
      </w:sdtContent>
    </w:sdt>
    <w:p>
      <w:r>
        <w:br w:type="page"/>
      </w:r>
    </w:p>
    <w:p>
      <w:pPr>
        <w:pStyle w:val="Heading1"/>
      </w:pPr>
      <w:r>
        <w:t xml:space="preserve">0 How to use this template</w:t>
      </w:r>
    </w:p>
    <w:p>
      <w:pPr>
        <w:pStyle w:val="ListParagraph"/>
        <w:numPr>
          <w:ilvl w:val="0"/>
          <w:numId w:val="1"/>
        </w:numPr>
        <w:spacing w:after="100"/>
      </w:pPr>
      <w:r>
        <w:rPr>
          <w:sz w:val="20"/>
          <w:szCs w:val="20"/>
        </w:rPr>
        <w:t xml:space="preserve">Who: the provider of the high-risk AI system draws up the technical documentation before the system is placed on the market or put into service, and keeps it up to date afterwards (Article 11(1)). Deployers do not draw up technical documentation, but should request the provider’s documents.</w:t>
      </w:r>
    </w:p>
    <w:p>
      <w:pPr>
        <w:pStyle w:val="ListParagraph"/>
        <w:numPr>
          <w:ilvl w:val="0"/>
          <w:numId w:val="1"/>
        </w:numPr>
        <w:spacing w:after="100"/>
      </w:pPr>
      <w:r>
        <w:rPr>
          <w:sz w:val="20"/>
          <w:szCs w:val="20"/>
        </w:rPr>
        <w:t xml:space="preserve">Scope: the nine sections below follow Annex IV. Where a point does not apply, do not delete it – state briefly why it is not relevant.</w:t>
      </w:r>
    </w:p>
    <w:p>
      <w:pPr>
        <w:pStyle w:val="ListParagraph"/>
        <w:numPr>
          <w:ilvl w:val="0"/>
          <w:numId w:val="1"/>
        </w:numPr>
        <w:spacing w:after="100"/>
      </w:pPr>
      <w:r>
        <w:rPr>
          <w:sz w:val="20"/>
          <w:szCs w:val="20"/>
        </w:rPr>
        <w:t xml:space="preserve">SMEs and start-ups may provide the information in a simplified form; the Commission provides a simplified form for this. The Digital Omnibus (Regulation (EU) 2026/1744) extends relief to small mid-caps – check the scope case by case.</w:t>
      </w:r>
    </w:p>
    <w:p>
      <w:pPr>
        <w:pStyle w:val="ListParagraph"/>
        <w:numPr>
          <w:ilvl w:val="0"/>
          <w:numId w:val="1"/>
        </w:numPr>
        <w:spacing w:after="100"/>
      </w:pPr>
      <w:r>
        <w:rPr>
          <w:sz w:val="20"/>
          <w:szCs w:val="20"/>
        </w:rPr>
        <w:t xml:space="preserve">Retention: keep the documentation available to the competent authorities for 10 years after the system is placed on the market or put into service (Article 18).</w:t>
      </w:r>
    </w:p>
    <w:p>
      <w:pPr>
        <w:pStyle w:val="ListParagraph"/>
        <w:numPr>
          <w:ilvl w:val="0"/>
          <w:numId w:val="1"/>
        </w:numPr>
        <w:spacing w:after="100"/>
      </w:pPr>
      <w:r>
        <w:rPr>
          <w:sz w:val="20"/>
          <w:szCs w:val="20"/>
        </w:rPr>
        <w:t xml:space="preserve">References instead of copies: keep large documents (test reports, datasheets, risk register) as annexes and reference them with version and storage location in the annex index at the end.</w:t>
      </w:r>
    </w:p>
    <w:p>
      <w:pPr>
        <w:pStyle w:val="Heading1"/>
        <w:pageBreakBefore/>
      </w:pPr>
      <w:r>
        <w:t xml:space="preserve">1 General description of the AI system</w:t>
      </w:r>
    </w:p>
    <w:p>
      <w:pPr>
        <w:spacing w:after="80"/>
      </w:pPr>
      <w:r>
        <w:rPr>
          <w:i/>
          <w:iCs/>
          <w:color w:val="6B7280"/>
          <w:sz w:val="19"/>
          <w:szCs w:val="19"/>
        </w:rPr>
        <w:t xml:space="preserve">Annex IV point 1. Someone who does not know the system should understand from this section what it does, for whom, in which form it is supplied and what it runs on.</w:t>
      </w:r>
    </w:p>
    <w:p>
      <w:pPr>
        <w:spacing w:after="80"/>
      </w:pPr>
    </w:p>
    <w:p>
      <w:pPr>
        <w:pStyle w:val="Heading2"/>
      </w:pPr>
      <w:r>
        <w:t xml:space="preserve">1.1 Intended purpose, provider and version</w:t>
      </w:r>
    </w:p>
    <w:p>
      <w:pPr>
        <w:spacing w:after="80"/>
      </w:pPr>
      <w:r>
        <w:rPr>
          <w:i/>
          <w:iCs/>
          <w:color w:val="6B7280"/>
          <w:sz w:val="19"/>
          <w:szCs w:val="19"/>
        </w:rPr>
        <w:t xml:space="preserve">Make the intended purpose as specific as possible: who uses the system, for what, in which context, with which persons affected? What is expressly not intended?</w:t>
      </w:r>
    </w:p>
    <w:p>
      <w:pPr>
        <w:spacing w:after="80"/>
      </w:pPr>
      <w:r>
        <w:rPr>
          <w:i/>
          <w:iCs/>
          <w:color w:val="6B7280"/>
          <w:sz w:val="19"/>
          <w:szCs w:val="19"/>
        </w:rPr>
        <w:t xml:space="preserve">State the version so that its relation to previous versions is clear.</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10"/>
        <w:gridCol w:w="6396"/>
      </w:tblGrid>
      <w:tr>
        <w:trPr>
          <w:tblHeader/>
        </w:trPr>
        <w:tc>
          <w:tcPr>
            <w:tcW w:type="pct" w:w="1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Item</w:t>
            </w:r>
          </w:p>
        </w:tc>
        <w:tc>
          <w:tcPr>
            <w:tcW w:type="pct" w:w="34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Content</w:t>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System name</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Provider (name, address, contact)</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Authorised representative in the EU (if applicable)</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Intended purpose</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Uses not intended</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Version / relation to previous versions</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Date placed on the market / put into service</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1.2 Interaction with hardware, software and other AI systems</w:t>
      </w:r>
    </w:p>
    <w:p>
      <w:pPr>
        <w:spacing w:after="80"/>
      </w:pPr>
      <w:r>
        <w:rPr>
          <w:i/>
          <w:iCs/>
          <w:color w:val="6B7280"/>
          <w:sz w:val="19"/>
          <w:szCs w:val="19"/>
        </w:rPr>
        <w:t xml:space="preserve">Every system the AI system exchanges data with or controls – including other AI systems that are not part of it (for example a third-party language model it calls).</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46"/>
        <w:gridCol w:w="2822"/>
        <w:gridCol w:w="1317"/>
        <w:gridCol w:w="2822"/>
      </w:tblGrid>
      <w:tr>
        <w:trPr>
          <w:tblHeader/>
        </w:trPr>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System / component</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Type of interaction</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Owner / provider</w:t>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1.3 Software and firmware versions, update requirements</w:t>
      </w:r>
    </w:p>
    <w:p>
      <w:pPr>
        <w:spacing w:after="80"/>
      </w:pPr>
      <w:r>
        <w:rPr>
          <w:i/>
          <w:iCs/>
          <w:color w:val="6B7280"/>
          <w:sz w:val="19"/>
          <w:szCs w:val="19"/>
        </w:rPr>
        <w:t xml:space="preserve">Relevant versions (runtime, libraries, models, firmware) and the requirements for updates: who installs them, how deployers are informed, which updates trigger a reassessment?</w:t>
      </w:r>
    </w:p>
    <w:p>
      <w:pPr>
        <w:spacing w:after="200"/>
      </w:pPr>
      <w:r>
        <w:rPr>
          <w:color w:val="9CA3AF"/>
        </w:rPr>
        <w:t xml:space="preserve">[entry]</w:t>
      </w:r>
    </w:p>
    <w:p>
      <w:pPr>
        <w:pStyle w:val="Heading2"/>
      </w:pPr>
      <w:r>
        <w:t xml:space="preserve">1.4 Forms in which the system is placed on the market or put into service</w:t>
      </w:r>
    </w:p>
    <w:p>
      <w:pPr>
        <w:spacing w:after="80"/>
      </w:pPr>
      <w:r>
        <w:rPr>
          <w:i/>
          <w:iCs/>
          <w:color w:val="6B7280"/>
          <w:sz w:val="19"/>
          <w:szCs w:val="19"/>
        </w:rPr>
        <w:t xml:space="preserve">For example SaaS access, API, downloadable software package, embedded in hardware, on-premises installation.</w:t>
      </w:r>
    </w:p>
    <w:p>
      <w:pPr>
        <w:spacing w:after="200"/>
      </w:pPr>
      <w:r>
        <w:rPr>
          <w:color w:val="9CA3AF"/>
        </w:rPr>
        <w:t xml:space="preserve">[entry]</w:t>
      </w:r>
    </w:p>
    <w:p>
      <w:pPr>
        <w:pStyle w:val="Heading2"/>
      </w:pPr>
      <w:r>
        <w:t xml:space="preserve">1.5 Hardware the system is intended to run on</w:t>
      </w:r>
    </w:p>
    <w:p>
      <w:pPr>
        <w:spacing w:after="80"/>
      </w:pPr>
      <w:r>
        <w:rPr>
          <w:i/>
          <w:iCs/>
          <w:color w:val="6B7280"/>
          <w:sz w:val="19"/>
          <w:szCs w:val="19"/>
        </w:rPr>
        <w:t xml:space="preserve">Minimum requirements and tested configurations (CPU/GPU, memory, sensors, operating system, cloud region).</w:t>
      </w:r>
    </w:p>
    <w:p>
      <w:pPr>
        <w:spacing w:after="200"/>
      </w:pPr>
      <w:r>
        <w:rPr>
          <w:color w:val="9CA3AF"/>
        </w:rPr>
        <w:t xml:space="preserve">[entry]</w:t>
      </w:r>
    </w:p>
    <w:p>
      <w:pPr>
        <w:pStyle w:val="Heading2"/>
      </w:pPr>
      <w:r>
        <w:t xml:space="preserve">1.6 Illustrations (where part of a product)</w:t>
      </w:r>
    </w:p>
    <w:p>
      <w:pPr>
        <w:spacing w:after="80"/>
      </w:pPr>
      <w:r>
        <w:rPr>
          <w:i/>
          <w:iCs/>
          <w:color w:val="6B7280"/>
          <w:sz w:val="19"/>
          <w:szCs w:val="19"/>
        </w:rPr>
        <w:t xml:space="preserve">Where the AI system is a component of a product: photographs or illustrations showing external features, marking and internal layout. Otherwise "not applicable" with a reason.</w:t>
      </w:r>
    </w:p>
    <w:p>
      <w:pPr>
        <w:spacing w:after="200"/>
      </w:pPr>
      <w:r>
        <w:rPr>
          <w:color w:val="9CA3AF"/>
        </w:rPr>
        <w:t xml:space="preserve">[entry]</w:t>
      </w:r>
    </w:p>
    <w:p>
      <w:pPr>
        <w:pStyle w:val="Heading2"/>
      </w:pPr>
      <w:r>
        <w:t xml:space="preserve">1.7 User interface for the deployer</w:t>
      </w:r>
    </w:p>
    <w:p>
      <w:pPr>
        <w:spacing w:after="80"/>
      </w:pPr>
      <w:r>
        <w:rPr>
          <w:i/>
          <w:iCs/>
          <w:color w:val="6B7280"/>
          <w:sz w:val="19"/>
          <w:szCs w:val="19"/>
        </w:rPr>
        <w:t xml:space="preserve">Basic description of the interface deployers work with – ideally with screenshots of where outputs are shown, explained or overridden.</w:t>
      </w:r>
    </w:p>
    <w:p>
      <w:pPr>
        <w:spacing w:after="200"/>
      </w:pPr>
      <w:r>
        <w:rPr>
          <w:color w:val="9CA3AF"/>
        </w:rPr>
        <w:t xml:space="preserve">[entry]</w:t>
      </w:r>
    </w:p>
    <w:p>
      <w:pPr>
        <w:pStyle w:val="Heading2"/>
      </w:pPr>
      <w:r>
        <w:t xml:space="preserve">1.8 Instructions for use for the deployer</w:t>
      </w:r>
    </w:p>
    <w:p>
      <w:pPr>
        <w:spacing w:after="80"/>
      </w:pPr>
      <w:r>
        <w:rPr>
          <w:i/>
          <w:iCs/>
          <w:color w:val="6B7280"/>
          <w:sz w:val="19"/>
          <w:szCs w:val="19"/>
        </w:rPr>
        <w:t xml:space="preserve">Reference to the instructions for use under Article 13 (version, location) or a copy as an annex.</w:t>
      </w:r>
    </w:p>
    <w:p>
      <w:pPr>
        <w:spacing w:after="200"/>
      </w:pPr>
      <w:r>
        <w:rPr>
          <w:color w:val="9CA3AF"/>
        </w:rPr>
        <w:t xml:space="preserve">[entry]</w:t>
      </w:r>
    </w:p>
    <w:p>
      <w:pPr>
        <w:pStyle w:val="Heading1"/>
        <w:pageBreakBefore/>
      </w:pPr>
      <w:r>
        <w:t xml:space="preserve">2 Elements and development process</w:t>
      </w:r>
    </w:p>
    <w:p>
      <w:pPr>
        <w:spacing w:after="80"/>
      </w:pPr>
      <w:r>
        <w:rPr>
          <w:i/>
          <w:iCs/>
          <w:color w:val="6B7280"/>
          <w:sz w:val="19"/>
          <w:szCs w:val="19"/>
        </w:rPr>
        <w:t xml:space="preserve">Annex IV point 2. The largest section: how the system was built, trained, tested and secured.</w:t>
      </w:r>
    </w:p>
    <w:p>
      <w:pPr>
        <w:spacing w:after="80"/>
      </w:pPr>
    </w:p>
    <w:p>
      <w:pPr>
        <w:pStyle w:val="Heading2"/>
      </w:pPr>
      <w:r>
        <w:t xml:space="preserve">2.1 Development methods and steps</w:t>
      </w:r>
    </w:p>
    <w:p>
      <w:pPr>
        <w:spacing w:after="80"/>
      </w:pPr>
      <w:r>
        <w:rPr>
          <w:i/>
          <w:iCs/>
          <w:color w:val="6B7280"/>
          <w:sz w:val="19"/>
          <w:szCs w:val="19"/>
        </w:rPr>
        <w:t xml:space="preserve">The process from requirement to release. Use of pre-trained systems or third-party tools: which ones, how they were integrated, how they were modified?</w:t>
      </w:r>
    </w:p>
    <w:p>
      <w:pPr>
        <w:spacing w:after="200"/>
      </w:pPr>
      <w:r>
        <w:rPr>
          <w:color w:val="9CA3AF"/>
        </w:rPr>
        <w:t xml:space="preserve">[entry]</w:t>
      </w:r>
    </w:p>
    <w:p>
      <w:pPr>
        <w:pStyle w:val="Heading2"/>
      </w:pPr>
      <w:r>
        <w:t xml:space="preserve">2.2 Design specifications</w:t>
      </w:r>
    </w:p>
    <w:p>
      <w:pPr>
        <w:spacing w:after="80"/>
      </w:pPr>
      <w:r>
        <w:rPr>
          <w:i/>
          <w:iCs/>
          <w:color w:val="6B7280"/>
          <w:sz w:val="19"/>
          <w:szCs w:val="19"/>
        </w:rPr>
        <w:t xml:space="preserve">General logic and algorithms; key design choices with rationale and assumptions – including about the persons or groups the system is intended to be used on; main classification choices; what the system is designed to optimise for and how much the parameters weigh; expected output quality.</w:t>
      </w:r>
    </w:p>
    <w:p>
      <w:pPr>
        <w:spacing w:after="80"/>
      </w:pPr>
      <w:r>
        <w:rPr>
          <w:i/>
          <w:iCs/>
          <w:color w:val="6B7280"/>
          <w:sz w:val="19"/>
          <w:szCs w:val="19"/>
        </w:rPr>
        <w:t xml:space="preserve">Disclose trade-offs: which choices were made to meet the requirements of Chapter III, Section 2 (for example accuracy vs. explainability)?</w:t>
      </w:r>
    </w:p>
    <w:p>
      <w:pPr>
        <w:spacing w:after="200"/>
      </w:pPr>
      <w:r>
        <w:rPr>
          <w:color w:val="9CA3AF"/>
        </w:rPr>
        <w:t xml:space="preserve">[entry]</w:t>
      </w:r>
    </w:p>
    <w:p>
      <w:pPr>
        <w:pStyle w:val="Heading2"/>
      </w:pPr>
      <w:r>
        <w:t xml:space="preserve">2.3 System architecture and computational resources</w:t>
      </w:r>
    </w:p>
    <w:p>
      <w:pPr>
        <w:spacing w:after="80"/>
      </w:pPr>
      <w:r>
        <w:rPr>
          <w:i/>
          <w:iCs/>
          <w:color w:val="6B7280"/>
          <w:sz w:val="19"/>
          <w:szCs w:val="19"/>
        </w:rPr>
        <w:t xml:space="preserve">How the software components build on and feed into each other (architecture diagram as an annex). Computational resources used for development, training, testing and validation.</w:t>
      </w:r>
    </w:p>
    <w:p>
      <w:pPr>
        <w:spacing w:after="200"/>
      </w:pPr>
      <w:r>
        <w:rPr>
          <w:color w:val="9CA3AF"/>
        </w:rPr>
        <w:t xml:space="preserve">[entry]</w:t>
      </w:r>
    </w:p>
    <w:p>
      <w:pPr>
        <w:pStyle w:val="Heading2"/>
      </w:pPr>
      <w:r>
        <w:t xml:space="preserve">2.4 Data requirements and datasheets</w:t>
      </w:r>
    </w:p>
    <w:p>
      <w:pPr>
        <w:spacing w:after="80"/>
      </w:pPr>
      <w:r>
        <w:rPr>
          <w:i/>
          <w:iCs/>
          <w:color w:val="6B7280"/>
          <w:sz w:val="19"/>
          <w:szCs w:val="19"/>
        </w:rPr>
        <w:t xml:space="preserve">Per dataset: provenance, scope, main characteristics, how the data were obtained and selected, labelling procedures, cleaning methods (for example outlier detection). Reference to data governance under Article 10.</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5"/>
        <w:gridCol w:w="1505"/>
        <w:gridCol w:w="1505"/>
        <w:gridCol w:w="1317"/>
        <w:gridCol w:w="1317"/>
        <w:gridCol w:w="1317"/>
        <w:gridCol w:w="941"/>
      </w:tblGrid>
      <w:tr>
        <w:trPr>
          <w:tblHeader/>
        </w:trPr>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Dataset</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Purpose (training/validation/test)</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Provenance</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Size / period</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Labelling</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Cleaning</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Personal data</w:t>
            </w:r>
          </w:p>
        </w:tc>
      </w:tr>
      <w:tr>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2.5 Assessment of human oversight measures (Article 14)</w:t>
      </w:r>
    </w:p>
    <w:p>
      <w:pPr>
        <w:spacing w:after="80"/>
      </w:pPr>
      <w:r>
        <w:rPr>
          <w:i/>
          <w:iCs/>
          <w:color w:val="6B7280"/>
          <w:sz w:val="19"/>
          <w:szCs w:val="19"/>
        </w:rPr>
        <w:t xml:space="preserve">Which oversight measures are needed, and which technical means help deployers interpret the outputs correctly (Article 13(3)(d))? For example confidence scores, explanations, a stop or override function.</w:t>
      </w:r>
    </w:p>
    <w:p>
      <w:pPr>
        <w:spacing w:after="200"/>
      </w:pPr>
      <w:r>
        <w:rPr>
          <w:color w:val="9CA3AF"/>
        </w:rPr>
        <w:t xml:space="preserve">[entry]</w:t>
      </w:r>
    </w:p>
    <w:p>
      <w:pPr>
        <w:pStyle w:val="Heading2"/>
      </w:pPr>
      <w:r>
        <w:t xml:space="preserve">2.6 Pre-determined changes</w:t>
      </w:r>
    </w:p>
    <w:p>
      <w:pPr>
        <w:spacing w:after="80"/>
      </w:pPr>
      <w:r>
        <w:rPr>
          <w:i/>
          <w:iCs/>
          <w:color w:val="6B7280"/>
          <w:sz w:val="19"/>
          <w:szCs w:val="19"/>
        </w:rPr>
        <w:t xml:space="preserve">If the system keeps learning or is adapted as planned after it is placed on the market: which changes are determined in advance and how continuous compliance is ensured. Otherwise "not applicable".</w:t>
      </w:r>
    </w:p>
    <w:p>
      <w:pPr>
        <w:spacing w:after="200"/>
      </w:pPr>
      <w:r>
        <w:rPr>
          <w:color w:val="9CA3AF"/>
        </w:rPr>
        <w:t xml:space="preserve">[entry]</w:t>
      </w:r>
    </w:p>
    <w:p>
      <w:pPr>
        <w:pStyle w:val="Heading2"/>
      </w:pPr>
      <w:r>
        <w:t xml:space="preserve">2.7 Validation and testing procedures</w:t>
      </w:r>
    </w:p>
    <w:p>
      <w:pPr>
        <w:spacing w:after="80"/>
      </w:pPr>
      <w:r>
        <w:rPr>
          <w:i/>
          <w:iCs/>
          <w:color w:val="6B7280"/>
          <w:sz w:val="19"/>
          <w:szCs w:val="19"/>
        </w:rPr>
        <w:t xml:space="preserve">Validation and test data used and their main characteristics; metrics for accuracy, robustness and other requirements, and for potentially discriminatory impacts. Test logs and test reports dated and signed by the responsible persons – including for pre-determined changes.</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1035"/>
        <w:gridCol w:w="1411"/>
        <w:gridCol w:w="1505"/>
        <w:gridCol w:w="1129"/>
        <w:gridCol w:w="1129"/>
        <w:gridCol w:w="2257"/>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Test ID</w:t>
            </w:r>
          </w:p>
        </w:tc>
        <w:tc>
          <w:tcPr>
            <w:tcW w:type="pct" w:w="5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Dataset</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Metric</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Result</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Threshold</w:t>
            </w:r>
          </w:p>
        </w:tc>
        <w:tc>
          <w:tcPr>
            <w:tcW w:type="pct" w:w="1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Approval (name, date)</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2.8 Cybersecurity measures</w:t>
      </w:r>
    </w:p>
    <w:p>
      <w:pPr>
        <w:spacing w:after="80"/>
      </w:pPr>
      <w:r>
        <w:rPr>
          <w:i/>
          <w:iCs/>
          <w:color w:val="6B7280"/>
          <w:sz w:val="19"/>
          <w:szCs w:val="19"/>
        </w:rPr>
        <w:t xml:space="preserve">Measures against training-data manipulation, model attacks (for example prompt injection, adversarial examples) and unauthorised access; results of security tests. Reference to your ISMS where one exists.</w:t>
      </w:r>
    </w:p>
    <w:p>
      <w:pPr>
        <w:spacing w:after="200"/>
      </w:pPr>
      <w:r>
        <w:rPr>
          <w:color w:val="9CA3AF"/>
        </w:rPr>
        <w:t xml:space="preserve">[entry]</w:t>
      </w:r>
    </w:p>
    <w:p>
      <w:pPr>
        <w:pStyle w:val="Heading1"/>
        <w:pageBreakBefore/>
      </w:pPr>
      <w:r>
        <w:t xml:space="preserve">3 Monitoring, functioning and control</w:t>
      </w:r>
    </w:p>
    <w:p>
      <w:pPr>
        <w:spacing w:after="80"/>
      </w:pPr>
      <w:r>
        <w:rPr>
          <w:i/>
          <w:iCs/>
          <w:color w:val="6B7280"/>
          <w:sz w:val="19"/>
          <w:szCs w:val="19"/>
        </w:rPr>
        <w:t xml:space="preserve">Annex IV point 3. What the system can and cannot do – honestly, with numbers, and for the groups it is used on.</w:t>
      </w:r>
    </w:p>
    <w:p>
      <w:pPr>
        <w:spacing w:after="80"/>
      </w:pPr>
    </w:p>
    <w:p>
      <w:pPr>
        <w:pStyle w:val="Heading2"/>
      </w:pPr>
      <w:r>
        <w:t xml:space="preserve">3.1 Capabilities and limitations in performance</w:t>
      </w:r>
    </w:p>
    <w:p>
      <w:pPr>
        <w:spacing w:after="80"/>
      </w:pPr>
      <w:r>
        <w:rPr>
          <w:i/>
          <w:iCs/>
          <w:color w:val="6B7280"/>
          <w:sz w:val="19"/>
          <w:szCs w:val="19"/>
        </w:rPr>
        <w:t xml:space="preserve">Expected overall accuracy in relation to the intended purpose and accuracy for specific persons or groups of persons on which the system is intended to be used.</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46"/>
        <w:gridCol w:w="1693"/>
        <w:gridCol w:w="1129"/>
        <w:gridCol w:w="1881"/>
        <w:gridCol w:w="2257"/>
      </w:tblGrid>
      <w:tr>
        <w:trPr>
          <w:tblHeader/>
        </w:trPr>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Group / segment</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Metric</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Value</w:t>
            </w:r>
          </w:p>
        </w:tc>
        <w:tc>
          <w:tcPr>
            <w:tcW w:type="pct" w:w="1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Deviation from overall</w:t>
            </w:r>
          </w:p>
        </w:tc>
        <w:tc>
          <w:tcPr>
            <w:tcW w:type="pct" w:w="1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Assessment</w:t>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3.2 Foreseeable unintended outcomes and sources of risk</w:t>
      </w:r>
    </w:p>
    <w:p>
      <w:pPr>
        <w:spacing w:after="80"/>
      </w:pPr>
      <w:r>
        <w:rPr>
          <w:i/>
          <w:iCs/>
          <w:color w:val="6B7280"/>
          <w:sz w:val="19"/>
          <w:szCs w:val="19"/>
        </w:rPr>
        <w:t xml:space="preserve">Risks to health, safety, fundamental rights and of discrimination that may follow from the intended purpose – including reasonably foreseeable misuse.</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22"/>
        <w:gridCol w:w="1693"/>
        <w:gridCol w:w="1505"/>
        <w:gridCol w:w="2069"/>
        <w:gridCol w:w="1317"/>
      </w:tblGrid>
      <w:tr>
        <w:trPr>
          <w:tblHeader/>
        </w:trPr>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Risk / unintended outcome</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Source</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Affected</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Countermeasure</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Residual risk</w:t>
            </w:r>
          </w:p>
        </w:tc>
      </w:tr>
      <w:tr>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3.3 Human oversight measures</w:t>
      </w:r>
    </w:p>
    <w:p>
      <w:pPr>
        <w:spacing w:after="80"/>
      </w:pPr>
      <w:r>
        <w:rPr>
          <w:i/>
          <w:iCs/>
          <w:color w:val="6B7280"/>
          <w:sz w:val="19"/>
          <w:szCs w:val="19"/>
        </w:rPr>
        <w:t xml:space="preserve">The measures required under Article 14 from an operations perspective: who monitors, when intervention is possible, how deployers interpret the outputs.</w:t>
      </w:r>
    </w:p>
    <w:p>
      <w:pPr>
        <w:spacing w:after="200"/>
      </w:pPr>
      <w:r>
        <w:rPr>
          <w:color w:val="9CA3AF"/>
        </w:rPr>
        <w:t xml:space="preserve">[entry]</w:t>
      </w:r>
    </w:p>
    <w:p>
      <w:pPr>
        <w:pStyle w:val="Heading2"/>
      </w:pPr>
      <w:r>
        <w:t xml:space="preserve">3.4 Input data specifications</w:t>
      </w:r>
    </w:p>
    <w:p>
      <w:pPr>
        <w:spacing w:after="80"/>
      </w:pPr>
      <w:r>
        <w:rPr>
          <w:i/>
          <w:iCs/>
          <w:color w:val="6B7280"/>
          <w:sz w:val="19"/>
          <w:szCs w:val="19"/>
        </w:rPr>
        <w:t xml:space="preserve">Which input data the system expects (format, quality, value ranges) and what happens with deviating inputs.</w:t>
      </w:r>
    </w:p>
    <w:p>
      <w:pPr>
        <w:spacing w:after="200"/>
      </w:pPr>
      <w:r>
        <w:rPr>
          <w:color w:val="9CA3AF"/>
        </w:rPr>
        <w:t xml:space="preserve">[entry]</w:t>
      </w:r>
    </w:p>
    <w:p>
      <w:pPr>
        <w:pStyle w:val="Heading1"/>
        <w:pageBreakBefore/>
      </w:pPr>
      <w:r>
        <w:t xml:space="preserve">4 Appropriateness of the performance metrics</w:t>
      </w:r>
    </w:p>
    <w:p>
      <w:pPr>
        <w:spacing w:after="80"/>
      </w:pPr>
      <w:r>
        <w:rPr>
          <w:i/>
          <w:iCs/>
          <w:color w:val="6B7280"/>
          <w:sz w:val="19"/>
          <w:szCs w:val="19"/>
        </w:rPr>
        <w:t xml:space="preserve">Annex IV point 4. Why these particular metrics describe the performance of this system meaningfully.</w:t>
      </w:r>
    </w:p>
    <w:p>
      <w:pPr>
        <w:spacing w:after="80"/>
      </w:pPr>
    </w:p>
    <w:p>
      <w:pPr>
        <w:pStyle w:val="Heading2"/>
      </w:pPr>
      <w:r>
        <w:t xml:space="preserve">4.1 Metrics and rationale</w:t>
      </w:r>
    </w:p>
    <w:p>
      <w:pPr>
        <w:spacing w:after="80"/>
      </w:pPr>
      <w:r>
        <w:rPr>
          <w:i/>
          <w:iCs/>
          <w:color w:val="6B7280"/>
          <w:sz w:val="19"/>
          <w:szCs w:val="19"/>
        </w:rPr>
        <w:t xml:space="preserve">Per metric: why it suits the intended purpose, which target applies and where the metric has limits (for example accuracy with imbalanced classes).</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93"/>
        <w:gridCol w:w="3198"/>
        <w:gridCol w:w="1317"/>
        <w:gridCol w:w="3198"/>
      </w:tblGrid>
      <w:tr>
        <w:trPr>
          <w:tblHeader/>
        </w:trPr>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Metric</w:t>
            </w:r>
          </w:p>
        </w:tc>
        <w:tc>
          <w:tcPr>
            <w:tcW w:type="pct" w:w="1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Why appropriate</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Target</w:t>
            </w:r>
          </w:p>
        </w:tc>
        <w:tc>
          <w:tcPr>
            <w:tcW w:type="pct" w:w="1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Limits of the metric</w:t>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1"/>
        <w:pageBreakBefore/>
      </w:pPr>
      <w:r>
        <w:t xml:space="preserve">5 Risk management system (Article 9)</w:t>
      </w:r>
    </w:p>
    <w:p>
      <w:pPr>
        <w:spacing w:after="80"/>
      </w:pPr>
      <w:r>
        <w:rPr>
          <w:i/>
          <w:iCs/>
          <w:color w:val="6B7280"/>
          <w:sz w:val="19"/>
          <w:szCs w:val="19"/>
        </w:rPr>
        <w:t xml:space="preserve">Annex IV point 5. Detailed description of the risk management system – as a continuous process across the whole lifecycle.</w:t>
      </w:r>
    </w:p>
    <w:p>
      <w:pPr>
        <w:spacing w:after="80"/>
      </w:pPr>
    </w:p>
    <w:p>
      <w:pPr>
        <w:pStyle w:val="Heading2"/>
      </w:pPr>
      <w:r>
        <w:t xml:space="preserve">5.1 Process and responsibilities</w:t>
      </w:r>
    </w:p>
    <w:p>
      <w:pPr>
        <w:spacing w:after="80"/>
      </w:pPr>
      <w:r>
        <w:rPr>
          <w:i/>
          <w:iCs/>
          <w:color w:val="6B7280"/>
          <w:sz w:val="19"/>
          <w:szCs w:val="19"/>
        </w:rPr>
        <w:t xml:space="preserve">How risks are identified, assessed, treated and reviewed; who is responsible; how often and on which occasions risk management is updated.</w:t>
      </w:r>
    </w:p>
    <w:p>
      <w:pPr>
        <w:spacing w:after="200"/>
      </w:pPr>
      <w:r>
        <w:rPr>
          <w:color w:val="9CA3AF"/>
        </w:rPr>
        <w:t xml:space="preserve">[entry]</w:t>
      </w:r>
    </w:p>
    <w:p>
      <w:pPr>
        <w:pStyle w:val="Heading2"/>
      </w:pPr>
      <w:r>
        <w:t xml:space="preserve">5.2 Risk register (extract or reference)</w:t>
      </w:r>
    </w:p>
    <w:p>
      <w:pPr>
        <w:spacing w:after="80"/>
      </w:pPr>
      <w:r>
        <w:rPr>
          <w:i/>
          <w:iCs/>
          <w:color w:val="6B7280"/>
          <w:sz w:val="19"/>
          <w:szCs w:val="19"/>
        </w:rPr>
        <w:t xml:space="preserve">Keep the full register as an annex; list the main risks here.</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52"/>
        <w:gridCol w:w="2446"/>
        <w:gridCol w:w="1223"/>
        <w:gridCol w:w="1035"/>
        <w:gridCol w:w="2069"/>
        <w:gridCol w:w="941"/>
        <w:gridCol w:w="941"/>
      </w:tblGrid>
      <w:tr>
        <w:trPr>
          <w:tblHeader/>
        </w:trPr>
        <w:tc>
          <w:tcPr>
            <w:tcW w:type="pct" w:w="4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ID</w:t>
            </w:r>
          </w:p>
        </w:tc>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Risk</w:t>
            </w:r>
          </w:p>
        </w:tc>
        <w:tc>
          <w:tcPr>
            <w:tcW w:type="pct" w:w="6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Likelihood</w:t>
            </w:r>
          </w:p>
        </w:tc>
        <w:tc>
          <w:tcPr>
            <w:tcW w:type="pct" w:w="5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Severity</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Measure</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Residual</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Status</w:t>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5.3 Testing of risk mitigation</w:t>
      </w:r>
    </w:p>
    <w:p>
      <w:pPr>
        <w:spacing w:after="80"/>
      </w:pPr>
      <w:r>
        <w:rPr>
          <w:i/>
          <w:iCs/>
          <w:color w:val="6B7280"/>
          <w:sz w:val="19"/>
          <w:szCs w:val="19"/>
        </w:rPr>
        <w:t xml:space="preserve">Which tests show that the measures work, and against which pre-defined metrics and thresholds?</w:t>
      </w:r>
    </w:p>
    <w:p>
      <w:pPr>
        <w:spacing w:after="200"/>
      </w:pPr>
      <w:r>
        <w:rPr>
          <w:color w:val="9CA3AF"/>
        </w:rPr>
        <w:t xml:space="preserve">[entry]</w:t>
      </w:r>
    </w:p>
    <w:p>
      <w:pPr>
        <w:pStyle w:val="Heading1"/>
        <w:pageBreakBefore/>
      </w:pPr>
      <w:r>
        <w:t xml:space="preserve">6 Changes through the lifecycle</w:t>
      </w:r>
    </w:p>
    <w:p>
      <w:pPr>
        <w:spacing w:after="80"/>
      </w:pPr>
      <w:r>
        <w:rPr>
          <w:i/>
          <w:iCs/>
          <w:color w:val="6B7280"/>
          <w:sz w:val="19"/>
          <w:szCs w:val="19"/>
        </w:rPr>
        <w:t xml:space="preserve">Annex IV point 6. Relevant changes the provider makes to the system.</w:t>
      </w:r>
    </w:p>
    <w:p>
      <w:pPr>
        <w:spacing w:after="80"/>
      </w:pPr>
    </w:p>
    <w:p>
      <w:pPr>
        <w:pStyle w:val="Heading2"/>
      </w:pPr>
      <w:r>
        <w:t xml:space="preserve">6.1 Change log</w:t>
      </w:r>
    </w:p>
    <w:p>
      <w:pPr>
        <w:spacing w:after="80"/>
      </w:pPr>
      <w:r>
        <w:rPr>
          <w:i/>
          <w:iCs/>
          <w:color w:val="6B7280"/>
          <w:sz w:val="19"/>
          <w:szCs w:val="19"/>
        </w:rPr>
        <w:t xml:space="preserve">Every relevant change with an assessment of whether it is substantial. A substantial modification can require a new conformity assessment.</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129"/>
        <w:gridCol w:w="941"/>
        <w:gridCol w:w="3198"/>
        <w:gridCol w:w="2257"/>
        <w:gridCol w:w="1881"/>
      </w:tblGrid>
      <w:tr>
        <w:trPr>
          <w:tblHeader/>
        </w:trPr>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Change</w:t>
            </w:r>
          </w:p>
        </w:tc>
        <w:tc>
          <w:tcPr>
            <w:tcW w:type="pct" w:w="1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Substantial? (reason)</w:t>
            </w:r>
          </w:p>
        </w:tc>
        <w:tc>
          <w:tcPr>
            <w:tcW w:type="pct" w:w="1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Reassessment / result</w:t>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1"/>
        <w:pageBreakBefore/>
      </w:pPr>
      <w:r>
        <w:t xml:space="preserve">7 Harmonised standards applied and other solutions</w:t>
      </w:r>
    </w:p>
    <w:p>
      <w:pPr>
        <w:spacing w:after="80"/>
      </w:pPr>
      <w:r>
        <w:rPr>
          <w:i/>
          <w:iCs/>
          <w:color w:val="6B7280"/>
          <w:sz w:val="19"/>
          <w:szCs w:val="19"/>
        </w:rPr>
        <w:t xml:space="preserve">Annex IV point 7. Which standards were applied in full or in part – and where none were applied, how the requirements are met instead.</w:t>
      </w:r>
    </w:p>
    <w:p>
      <w:pPr>
        <w:spacing w:after="80"/>
      </w:pPr>
    </w:p>
    <w:p>
      <w:pPr>
        <w:pStyle w:val="Heading2"/>
      </w:pPr>
      <w:r>
        <w:t xml:space="preserve">7.1 Standards and specifications</w:t>
      </w:r>
    </w:p>
    <w:p>
      <w:pPr>
        <w:spacing w:after="80"/>
      </w:pPr>
      <w:r>
        <w:rPr>
          <w:i/>
          <w:iCs/>
          <w:color w:val="6B7280"/>
          <w:sz w:val="19"/>
          <w:szCs w:val="19"/>
        </w:rPr>
        <w:t xml:space="preserve">Harmonised standards with their reference in the Official Journal of the EU; other relevant standards and technical specifications as well. Check the state of standardisation regularly.</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069"/>
        <w:gridCol w:w="1693"/>
        <w:gridCol w:w="1505"/>
        <w:gridCol w:w="2069"/>
        <w:gridCol w:w="2069"/>
      </w:tblGrid>
      <w:tr>
        <w:trPr>
          <w:tblHeader/>
        </w:trPr>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Standard / specification</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Reference</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Full / partial</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Requirement covered</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Deviation / other solution</w:t>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2"/>
      </w:pPr>
      <w:r>
        <w:t xml:space="preserve">7.2 Solutions without a harmonised standard</w:t>
      </w:r>
    </w:p>
    <w:p>
      <w:pPr>
        <w:spacing w:after="80"/>
      </w:pPr>
      <w:r>
        <w:rPr>
          <w:i/>
          <w:iCs/>
          <w:color w:val="6B7280"/>
          <w:sz w:val="19"/>
          <w:szCs w:val="19"/>
        </w:rPr>
        <w:t xml:space="preserve">For each requirement in Chapter III, Section 2 (Articles 8–15) not covered by a harmonised standard: a detailed description of the solution adopted.</w:t>
      </w:r>
    </w:p>
    <w:p>
      <w:pPr>
        <w:spacing w:after="200"/>
      </w:pPr>
      <w:r>
        <w:rPr>
          <w:color w:val="9CA3AF"/>
        </w:rPr>
        <w:t xml:space="preserve">[entry]</w:t>
      </w:r>
    </w:p>
    <w:p>
      <w:pPr>
        <w:pStyle w:val="Heading1"/>
        <w:pageBreakBefore/>
      </w:pPr>
      <w:r>
        <w:t xml:space="preserve">8 EU declaration of conformity (Article 47)</w:t>
      </w:r>
    </w:p>
    <w:p>
      <w:pPr>
        <w:spacing w:after="80"/>
      </w:pPr>
      <w:r>
        <w:rPr>
          <w:i/>
          <w:iCs/>
          <w:color w:val="6B7280"/>
          <w:sz w:val="19"/>
          <w:szCs w:val="19"/>
        </w:rPr>
        <w:t xml:space="preserve">Annex IV point 8. A copy of the EU declaration of conformity belongs in the technical documentation.</w:t>
      </w:r>
    </w:p>
    <w:p>
      <w:pPr>
        <w:spacing w:after="80"/>
      </w:pPr>
    </w:p>
    <w:p>
      <w:pPr>
        <w:pStyle w:val="Heading2"/>
      </w:pPr>
      <w:r>
        <w:t xml:space="preserve">8.1 Copy of the declaration of conformity</w:t>
      </w:r>
    </w:p>
    <w:p>
      <w:pPr>
        <w:spacing w:after="80"/>
      </w:pPr>
      <w:r>
        <w:rPr>
          <w:i/>
          <w:iCs/>
          <w:color w:val="6B7280"/>
          <w:sz w:val="19"/>
          <w:szCs w:val="19"/>
        </w:rPr>
        <w:t xml:space="preserve">Attach a copy as an annex; content according to Annex V. Update this table whenever a new version of the declaration is issued.</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93"/>
        <w:gridCol w:w="1317"/>
        <w:gridCol w:w="2446"/>
        <w:gridCol w:w="1505"/>
        <w:gridCol w:w="2446"/>
      </w:tblGrid>
      <w:tr>
        <w:trPr>
          <w:tblHeader/>
        </w:trPr>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No. / version</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w:t>
            </w:r>
          </w:p>
        </w:tc>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Signed by</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System version</w:t>
            </w:r>
          </w:p>
        </w:tc>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Location / annex</w:t>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1"/>
        <w:pageBreakBefore/>
      </w:pPr>
      <w:r>
        <w:t xml:space="preserve">9 Post-market monitoring (Article 72)</w:t>
      </w:r>
    </w:p>
    <w:p>
      <w:pPr>
        <w:spacing w:after="80"/>
      </w:pPr>
      <w:r>
        <w:rPr>
          <w:i/>
          <w:iCs/>
          <w:color w:val="6B7280"/>
          <w:sz w:val="19"/>
          <w:szCs w:val="19"/>
        </w:rPr>
        <w:t xml:space="preserve">Annex IV point 9. How the performance of the system is evaluated in operation, including the post-market monitoring plan.</w:t>
      </w:r>
    </w:p>
    <w:p>
      <w:pPr>
        <w:spacing w:after="80"/>
      </w:pPr>
    </w:p>
    <w:p>
      <w:pPr>
        <w:pStyle w:val="Heading2"/>
      </w:pPr>
      <w:r>
        <w:t xml:space="preserve">9.1 Monitoring system</w:t>
      </w:r>
    </w:p>
    <w:p>
      <w:pPr>
        <w:spacing w:after="80"/>
      </w:pPr>
      <w:r>
        <w:rPr>
          <w:i/>
          <w:iCs/>
          <w:color w:val="6B7280"/>
          <w:sz w:val="19"/>
          <w:szCs w:val="19"/>
        </w:rPr>
        <w:t xml:space="preserve">Which operational data are collected (including via deployers), how they are analysed and who acts when thresholds are exceeded. Link to serious incident reporting (Article 73).</w:t>
      </w:r>
    </w:p>
    <w:p>
      <w:pPr>
        <w:spacing w:after="200"/>
      </w:pPr>
      <w:r>
        <w:rPr>
          <w:color w:val="9CA3AF"/>
        </w:rPr>
        <w:t xml:space="preserve">[entry]</w:t>
      </w:r>
    </w:p>
    <w:p>
      <w:pPr>
        <w:pStyle w:val="Heading2"/>
      </w:pPr>
      <w:r>
        <w:t xml:space="preserve">9.2 Post-market monitoring plan</w:t>
      </w:r>
    </w:p>
    <w:p>
      <w:pPr>
        <w:spacing w:after="80"/>
      </w:pPr>
      <w:r>
        <w:rPr>
          <w:i/>
          <w:iCs/>
          <w:color w:val="6B7280"/>
          <w:sz w:val="19"/>
          <w:szCs w:val="19"/>
        </w:rPr>
        <w:t xml:space="preserve">The plan is part of the technical documentation (Article 72(3)).</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1"/>
        <w:gridCol w:w="1505"/>
        <w:gridCol w:w="1129"/>
        <w:gridCol w:w="1317"/>
        <w:gridCol w:w="2069"/>
        <w:gridCol w:w="1505"/>
      </w:tblGrid>
      <w:tr>
        <w:trPr>
          <w:tblHeader/>
        </w:trPr>
        <w:tc>
          <w:tcPr>
            <w:tcW w:type="pct" w:w="1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Signal / metric</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Source</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Frequency</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Threshold</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Action</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Owner</w:t>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[entry]</w:t>
      </w:r>
    </w:p>
    <w:p>
      <w:pPr>
        <w:pStyle w:val="Heading1"/>
        <w:pageBreakBefore/>
      </w:pPr>
      <w:r>
        <w:t xml:space="preserve">Annex index</w:t>
      </w:r>
    </w:p>
    <w:p>
      <w:pPr>
        <w:spacing w:after="80"/>
      </w:pPr>
      <w:r>
        <w:rPr>
          <w:i/>
          <w:iCs/>
          <w:color w:val="6B7280"/>
          <w:sz w:val="19"/>
          <w:szCs w:val="19"/>
        </w:rPr>
        <w:t xml:space="preserve">Every document referenced above, with version and storage location.</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3762"/>
        <w:gridCol w:w="1317"/>
        <w:gridCol w:w="3386"/>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Annex</w:t>
            </w:r>
          </w:p>
        </w:tc>
        <w:tc>
          <w:tcPr>
            <w:tcW w:type="pct" w:w="2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Title</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Location</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A1</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Instructions for use (Article 13)</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A2</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Architecture diagram</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A3</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Datasheets</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A4</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Test reports</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A5</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Risk register</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A6</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EU declaration of conformity</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sectPr>
      <w:headerReference w:type="default" r:id="rId6"/>
      <w:headerReference w:type="first" r:id="rId7"/>
      <w:footerReference w:type="default" r:id="rId8"/>
      <w:footerReference w:type="first" r:id="rId9"/>
      <w:pgSz w:w="11906" w:h="16838" w:orient="portrait"/>
      <w:pgMar w:top="1300" w:right="1250" w:bottom="1200" w:left="125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SimpleAct template Annex IV · status 3 October 2026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Technical documentation · [AI system] · confidential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lang w:val="en-GB"/>
      </w:rPr>
    </w:rPrDefault>
    <w:pPrDefault>
      <w:pPr>
        <w:spacing w:line="276"/>
      </w:pPr>
    </w:pPrDefault>
  </w:docDefaults>
  <w:style w:type="paragraph" w:styleId="Normal" w:default="1">
    <w:name w:val="Normal"/>
    <w:qFormat/>
  </w:style>
  <w:style w:type="paragraph" w:styleId="Title">
    <w:name w:val="Title"/>
    <w:basedOn w:val="Normal"/>
    <w:next w:val="Normal"/>
    <w:qFormat/>
    <w:pPr>
      <w:spacing w:after="160"/>
    </w:pPr>
    <w:rPr>
      <w:rFonts w:ascii="Calibri" w:cs="Calibri" w:eastAsia="Calibri" w:hAnsi="Calibri"/>
      <w:b/>
      <w:bCs/>
      <w:color w:val="16181D"/>
      <w:sz w:val="36"/>
      <w:szCs w:val="36"/>
    </w:rPr>
  </w:style>
  <w:style w:type="paragraph" w:styleId="Heading1">
    <w:name w:val="Heading 1"/>
    <w:basedOn w:val="Normal"/>
    <w:next w:val="Normal"/>
    <w:qFormat/>
    <w:pPr>
      <w:spacing w:after="120" w:before="240"/>
    </w:pPr>
    <w:rPr>
      <w:rFonts w:ascii="Calibri" w:cs="Calibri" w:eastAsia="Calibri" w:hAnsi="Calibri"/>
      <w:b/>
      <w:bCs/>
      <w:color w:val="16181D"/>
      <w:sz w:val="32"/>
      <w:szCs w:val="32"/>
    </w:rPr>
  </w:style>
  <w:style w:type="paragraph" w:styleId="Heading2">
    <w:name w:val="Heading 2"/>
    <w:basedOn w:val="Normal"/>
    <w:next w:val="Normal"/>
    <w:qFormat/>
    <w:pPr>
      <w:keepNext/>
      <w:spacing w:after="80" w:before="280"/>
    </w:pPr>
    <w:rPr>
      <w:rFonts w:ascii="Calibri" w:cs="Calibri" w:eastAsia="Calibri" w:hAnsi="Calibri"/>
      <w:b/>
      <w:bCs/>
      <w:color w:val="2563EB"/>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documentation under Annex IV of the AI Act – template</dc:title>
  <dc:subject>Template for the technical documentation of high-risk AI systems under Article 11 and Annex IV of Regulation (EU) 2024/1689</dc:subject>
  <dc:creator>SimpleAct</dc:creator>
  <cp:keywords>technical documentation, Annex IV, AI Act, high-risk AI, template, Article 11</cp:keywords>
  <dc:description>This template is a working aid by SimpleAct and not legal advice. It paraphrases the structure of Annex IV. Only the wording of Annex IV to Regulation (EU) 2024/1689 as currently in force (last amended by Regulation (EU) 2026/1744) is authoritative. Delete the grey italic guidance before release.</dc:description>
  <cp:lastModifiedBy>SimpleAct</cp:lastModifiedBy>
  <cp:revision>1</cp:revision>
  <dcterms:created xsi:type="dcterms:W3CDTF">2026-10-03T20:35:17.344Z</dcterms:created>
  <dcterms:modified xsi:type="dcterms:W3CDTF">2026-10-03T20:35:17.344Z</dcterms:modified>
  <dc:language>en-GB</dc:language>
</cp:coreProperties>
</file>

<file path=docProps/custom.xml><?xml version="1.0" encoding="utf-8"?>
<Properties xmlns="http://schemas.openxmlformats.org/officeDocument/2006/custom-properties" xmlns:vt="http://schemas.openxmlformats.org/officeDocument/2006/docPropsVTypes"/>
</file>