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16181D"/>
          <w:sz w:val="40"/>
          <w:szCs w:val="40"/>
        </w:rPr>
        <w:t xml:space="preserve">Annex: Technical and Organisational Measures</w:t>
      </w:r>
    </w:p>
    <w:p>
      <w:pPr>
        <w:spacing w:after="24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Annex to the data processing agreement under Art. 32 GDPR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Processor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[Name, address]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Controller (customer)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[Name, address]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Related agreement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[DPA dated DD/MM/YYYY / main contract]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Processing activities / systems covered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[e.g. hosting of the customer portal, ticket system]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Contact for data protection / information security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[Name, email]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Version / status date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[1.0 / DD/MM/YYYY]</w:t>
            </w:r>
          </w:p>
        </w:tc>
      </w:tr>
      <w:tr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Next scheduled review</w:t>
            </w:r>
          </w:p>
        </w:tc>
        <w:tc>
          <w:tcPr>
            <w:tcW w:type="pct" w:w="3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[DD/MM/YYYY]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How to use this template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The template structures the measures along Art. 32(1)(a)–(d) and Art. 32(4) GDPR. Art. 32 does not prescribe a fixed list: which measures are appropriate depends on the risk of the specific processing, the state of the art and the costs of implementation.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The pre-filled measures are examples. Delete what does not apply and add the measures you actually have in place. Describe what is implemented – not what is planned or intended. Mark planned measures as “planned” with a date.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In the right-hand column, note how the measure is implemented and where the evidence is kept (policy, configuration, test report, certificate).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Only complete section 10 (AI services) if AI services are used in the processing. It contains recommendations, not additional legal obligations.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6181D"/>
          <w:sz w:val="20"/>
          <w:szCs w:val="20"/>
        </w:rPr>
        <w:t xml:space="preserve">This template is a working aid by the SimpleAct editorial team and is not legal advice. Have the completed annex reviewed by your data protection adviser.</w:t>
      </w:r>
    </w:p>
    <w:p>
      <w:pPr>
        <w:pStyle w:val="Heading2"/>
        <w:keepNext/>
        <w:pageBreakBefore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1. Pseudonymisation and encryption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32(1)(a)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Encryption protects confidentiality and integrity in transit and at rest. Pseudonymisation separates identifiers from the remaining data (Art. 4(5) GDPR).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Encryption in transit (e.g. TLS) for all connections carrying personal data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Encryption at rest (databases, storage media, backups)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Key management: responsibility, storage, key rotation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Encryption of mobile devices and removable media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Pseudonymisation where the purpose allows it (e.g. test and analytics data)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2. Confidentiality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32(1)(b)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Only authorised people get physical access to premises, access to systems and access to data – and only to the extent necessary.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Physical access: rules for offices and server rooms, visitor policy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System access: password policy, multi-factor authentication for remote and administrative access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Data access: role and permission concept on a need-to-know basis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Regular review of permissions and removal on leaving or changing roles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Separation of data of different customers (multi-tenancy) or different purposes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Secure disposal of paper and storage media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3. Integrity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32(1)(b)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Data is not changed unnoticed or without authorisation – neither on input nor in transit.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Logging of input, changes and deletions (who, when, what)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Protection of logs against later modification and a defined retention period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Defined transfer channels; documentation of where data is transmitted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Protection against malware, timely security updates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4. Availability and resilience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32(1)(b)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Systems and services remain available on an ongoing basis and withstand load and disruption.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Backup concept: scope, frequency, retention, separate storage location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Redundancy of critical components, uninterruptible power supply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Monitoring with alerting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Protection against overload and attacks on availability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Data centre: location, operator, certifications if any [operator’s details]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5. Timely restoration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32(1)(c)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After a physical or technical incident, availability of and access to the data can be restored in a timely manner.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Documented restore procedure with targets for recovery time and data loss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Regular restore tests with a record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Contingency plan with responsibilities and contact details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6. Testing, assessing and evaluating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32(1)(d) GDPR, Art. 24(1)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A defined process regularly checks whether the measures are effective – and updates them when things change.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Defined review cycle for this annex plus reviews when triggered by events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Technical testing, e.g. vulnerability scans or penetration tests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Internal audits or third-party audits; handling of findings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Change management: assess new systems and vendors before use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7. Organisational measures and instructions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32(4), Art. 28(3)(a), (b)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People with access to personal data process it only on instructions and are bound by confidentiality.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Confidentiality commitments of staff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Documented instructions of the controller and a process to implement them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Training and awareness on data protection and information security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Named responsibilities (data protection, information security)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Policies, e.g. on IT use, remote work and clean desk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8. Processor control and sub-processors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28(2) and (4)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Other processors are engaged only with authorisation and bound by the same data protection obligations.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Current list of sub-processors with service and location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Review of sub-processors before engagement and at regular intervals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Informing the controller of intended changes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Passing on the data protection obligations by contract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9. Data protection by default, deletion and incidents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Art. 25, Art. 28(3)(e)–(g), Art. 33(2)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Defaults limit processing to what is necessary; deletion and incident notification are defined.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Privacy-friendly default settings (only necessary data, limited visibility)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Process to assist with data subject requests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Deletion or return of data at the end of the service; deletion record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Process for notifying the controller of personal data breaches without undue delay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6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10. AI services (only if used)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Recommendation – Art. 32 GDPR, Art. 28 GDPR</w:t>
      </w:r>
    </w:p>
    <w:p>
      <w:pPr>
        <w:keepNext/>
        <w:spacing w:after="140"/>
      </w:pPr>
      <w:r>
        <w:rPr>
          <w:rFonts w:ascii="Calibri" w:cs="Calibri" w:eastAsia="Calibri" w:hAnsi="Calibri"/>
          <w:i/>
          <w:iCs/>
          <w:color w:val="475569"/>
          <w:sz w:val="20"/>
          <w:szCs w:val="20"/>
        </w:rPr>
        <w:t xml:space="preserve">If an AI service is used in the processing (e.g. a language model via an API), these points should be described.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41"/>
        <w:gridCol w:w="1542"/>
        <w:gridCol w:w="3855"/>
      </w:tblGrid>
      <w:tr>
        <w:trPr>
          <w:tblHeader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Implementation and evidence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AI services used, with provider, model and processing location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No use of inputs and outputs to train the provider’s models (contract and settings)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Retention period of and access to prompt and response logs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Data minimisation before data reaches the model (e.g. removing or pseudonymising names)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Permissions in AI-assisted document search: the system only shows what the person may see anyway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New AI features approved through change management (section 6)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  <w:tr>
        <w:trPr>
          <w:cantSplit/>
        </w:trPr>
        <w:tc>
          <w:tcPr>
            <w:tcW w:type="pct" w:w="22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8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implemented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planned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☐ n/a</w:t>
            </w:r>
          </w:p>
        </w:tc>
        <w:tc>
          <w:tcPr>
            <w:tcW w:type="pct" w:w="20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[Description, evidence]</w:t>
            </w:r>
          </w:p>
        </w:tc>
      </w:tr>
    </w:tbl>
    <w:p>
      <w:pPr>
        <w:pStyle w:val="Heading2"/>
        <w:keepNext/>
        <w:spacing w:after="14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11. Change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49"/>
        <w:gridCol w:w="1735"/>
        <w:gridCol w:w="4433"/>
        <w:gridCol w:w="2120"/>
      </w:tblGrid>
      <w:tr>
        <w:trPr>
          <w:tblHeader/>
        </w:trP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shd w:fill="2563E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7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9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23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  <w:tc>
          <w:tcPr>
            <w:tcW w:type="pct" w:w="1100"/>
            <w:tcBorders>
              <w:top w:val="single" w:color="D9DEE5" w:sz="4"/>
              <w:left w:val="single" w:color="D9DEE5" w:sz="4"/>
              <w:bottom w:val="single" w:color="D9DEE5" w:sz="4"/>
              <w:right w:val="single" w:color="D9DE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6181D"/>
                <w:sz w:val="19"/>
                <w:szCs w:val="19"/>
              </w:rPr>
              <w:t xml:space="preserve"> </w:t>
            </w:r>
          </w:p>
        </w:tc>
      </w:tr>
    </w:tbl>
    <w:p>
      <w:pPr>
        <w:pStyle w:val="Heading2"/>
        <w:keepNext/>
        <w:spacing w:after="400" w:before="360"/>
      </w:pPr>
      <w:r>
        <w:rPr>
          <w:rFonts w:ascii="Calibri" w:cs="Calibri" w:eastAsia="Calibri" w:hAnsi="Calibri"/>
          <w:b/>
          <w:bCs/>
          <w:color w:val="16181D"/>
          <w:sz w:val="26"/>
          <w:szCs w:val="26"/>
        </w:rPr>
        <w:t xml:space="preserve">Confirmation</w:t>
      </w:r>
    </w:p>
    <w:p>
      <w:pPr>
        <w:pBdr>
          <w:top w:val="single" w:color="475569" w:sz="6" w:space="4"/>
        </w:pBdr>
        <w:spacing w:after="120" w:before="480"/>
      </w:pPr>
      <w:r>
        <w:rPr>
          <w:rFonts w:ascii="Calibri" w:cs="Calibri" w:eastAsia="Calibri" w:hAnsi="Calibri"/>
          <w:color w:val="475569"/>
          <w:sz w:val="18"/>
          <w:szCs w:val="18"/>
        </w:rPr>
        <w:t xml:space="preserve">Place, date, signature of the processor</w:t>
      </w:r>
    </w:p>
    <w:p>
      <w:pPr>
        <w:pBdr>
          <w:top w:val="single" w:color="475569" w:sz="6" w:space="4"/>
        </w:pBdr>
        <w:spacing w:after="120" w:before="480"/>
      </w:pPr>
      <w:r>
        <w:rPr>
          <w:rFonts w:ascii="Calibri" w:cs="Calibri" w:eastAsia="Calibri" w:hAnsi="Calibri"/>
          <w:color w:val="475569"/>
          <w:sz w:val="18"/>
          <w:szCs w:val="18"/>
        </w:rPr>
        <w:t xml:space="preserve">Place, date, signature of the controller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475569"/>
        <w:sz w:val="16"/>
        <w:szCs w:val="16"/>
      </w:rPr>
      <w:t xml:space="preserve">Template: SimpleAct editorial team · simpleact.eu/tom-dsgvo · status 4 October 2026 · not legal advice · page </w:t>
    </w:r>
    <w:r>
      <w:rPr>
        <w:rFonts w:ascii="Calibri" w:cs="Calibri" w:eastAsia="Calibri" w:hAnsi="Calibri"/>
        <w:color w:val="47556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Annex: Technical and Organisational Measures – Annex to the data processing agreement under Art. 32 GDPR</dc:title>
  <dc:creator>SimpleAct</dc:creator>
  <dc:description>Annex to the data processing agreement under Art. 32 GDPR</dc:description>
  <cp:lastModifiedBy>SimpleAct</cp:lastModifiedBy>
  <cp:revision>1</cp:revision>
  <dcterms:created xsi:type="dcterms:W3CDTF">2026-10-04T07:36:54.836Z</dcterms:created>
  <dcterms:modified xsi:type="dcterms:W3CDTF">2026-10-04T07:36:54.836Z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