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100"/>
      </w:pPr>
    </w:p>
    <w:p>
      <w:pPr>
        <w:spacing w:after="120"/>
      </w:pPr>
      <w:r>
        <w:rPr>
          <w:b/>
          <w:bCs/>
          <w:color w:val="2563EB"/>
          <w:spacing w:val="20"/>
          <w:sz w:val="18"/>
          <w:szCs w:val="18"/>
        </w:rPr>
        <w:t xml:space="preserve">TEMPLATE · WORKING AID</w:t>
      </w:r>
    </w:p>
    <w:p>
      <w:pPr>
        <w:spacing w:after="80"/>
      </w:pPr>
      <w:r>
        <w:rPr>
          <w:b/>
          <w:bCs/>
          <w:color w:val="16181D"/>
          <w:sz w:val="60"/>
          <w:szCs w:val="60"/>
        </w:rPr>
        <w:t xml:space="preserve">AI acceptable use policy</w:t>
      </w:r>
    </w:p>
    <w:p>
      <w:pPr>
        <w:spacing w:after="440"/>
      </w:pPr>
      <w:r>
        <w:rPr>
          <w:color w:val="6B7280"/>
          <w:sz w:val="28"/>
          <w:szCs w:val="28"/>
        </w:rPr>
        <w:t xml:space="preserve">Policy on the use of AI systems and AI tools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574"/>
        <w:gridCol w:w="5832"/>
      </w:tblGrid>
      <w:tr>
        <w:trPr>
          <w:tblHeader/>
        </w:trPr>
        <w:tc>
          <w:tcPr>
            <w:tcW w:type="pct" w:w="19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Item</w:t>
            </w:r>
          </w:p>
        </w:tc>
        <w:tc>
          <w:tcPr>
            <w:tcW w:type="pct" w:w="31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Content</w:t>
            </w:r>
          </w:p>
        </w:tc>
      </w:tr>
      <w:tr>
        <w:trPr>
          <w:cantSplit/>
        </w:trP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Company</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[name, legal form, registered office]</w:t>
            </w:r>
          </w:p>
        </w:tc>
      </w:tr>
      <w:tr>
        <w:trPr>
          <w:cantSplit/>
        </w:trP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Scope</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[whole company / sites / group companies]</w:t>
            </w:r>
          </w:p>
        </w:tc>
      </w:tr>
      <w:tr>
        <w:trPr>
          <w:cantSplit/>
        </w:trP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Version</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[e.g. 1.0]</w:t>
            </w:r>
          </w:p>
        </w:tc>
      </w:tr>
      <w:tr>
        <w:trPr>
          <w:cantSplit/>
        </w:trP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Valid from</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[DD/MM/YYYY]</w:t>
            </w:r>
          </w:p>
        </w:tc>
      </w:tr>
      <w:tr>
        <w:trPr>
          <w:cantSplit/>
        </w:trP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Owner</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[name, role]</w:t>
            </w:r>
          </w:p>
        </w:tc>
      </w:tr>
      <w:tr>
        <w:trPr>
          <w:cantSplit/>
        </w:trP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Approved by</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[name, role, date]</w:t>
            </w:r>
          </w:p>
        </w:tc>
      </w:tr>
      <w:tr>
        <w:trPr>
          <w:cantSplit/>
        </w:trP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Employee representation</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[date, type of involvement, works agreement if any] / [none]</w:t>
            </w:r>
          </w:p>
        </w:tc>
      </w:tr>
      <w:tr>
        <w:trPr>
          <w:cantSplit/>
        </w:trP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Next scheduled review</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[DD/MM/YYYY]</w:t>
            </w:r>
          </w:p>
        </w:tc>
      </w:tr>
      <w:tr>
        <w:trPr>
          <w:cantSplit/>
        </w:trP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Classification</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[internal]</w:t>
            </w:r>
          </w:p>
        </w:tc>
      </w:tr>
    </w:tbl>
    <w:p>
      <w:pPr>
        <w:spacing w:after="30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406"/>
      </w:tblGrid>
      <w:tr>
        <w:tc>
          <w:tcPr>
            <w:tcBorders>
              <w:top w:val="single" w:color="F59E0B" w:sz="6"/>
              <w:left w:val="single" w:color="F59E0B" w:sz="24"/>
              <w:bottom w:val="single" w:color="F59E0B" w:sz="6"/>
              <w:right w:val="single" w:color="F59E0B" w:sz="6"/>
            </w:tcBorders>
            <w:shd w:fill="FEF3C7" w:color="auto" w:val="clear"/>
            <w:tcMar>
              <w:top w:type="dxa" w:w="140"/>
              <w:left w:type="dxa" w:w="180"/>
              <w:bottom w:type="dxa" w:w="140"/>
              <w:right w:type="dxa" w:w="180"/>
            </w:tcMar>
          </w:tcPr>
          <w:p>
            <w:pPr>
              <w:spacing w:after="60"/>
            </w:pPr>
            <w:r>
              <w:rPr>
                <w:b/>
                <w:bCs/>
                <w:color w:val="92400E"/>
              </w:rPr>
              <w:t xml:space="preserve">Notice</w:t>
            </w:r>
          </w:p>
          <w:p>
            <w:r>
              <w:rPr>
                <w:color w:val="78350F"/>
                <w:sz w:val="19"/>
                <w:szCs w:val="19"/>
              </w:rPr>
              <w:t xml:space="preserve">This template is a model and working aid from SimpleAct, not legal advice. No law expressly requires an AI policy; the template refers to rules that individual provisions connect to. Adapt the content and [placeholders] to your company, have the policy checked under employment law before rollout and agree it with the works council or other employee representatives where they exist. Delete the grey italic guidance before approval.</w:t>
            </w:r>
          </w:p>
        </w:tc>
      </w:tr>
    </w:tbl>
    <w:p>
      <w:pPr>
        <w:spacing w:after="160"/>
      </w:pPr>
    </w:p>
    <w:p>
      <w:r>
        <w:rPr>
          <w:color w:val="6B7280"/>
          <w:sz w:val="17"/>
          <w:szCs w:val="17"/>
        </w:rPr>
        <w:t xml:space="preserve">Template status: 4 October 2026 · simpleact.eu/ai-policy-template</w:t>
      </w:r>
    </w:p>
    <w:p>
      <w:r>
        <w:br w:type="page"/>
      </w:r>
    </w:p>
    <w:p>
      <w:pPr>
        <w:pStyle w:val="Title"/>
      </w:pPr>
      <w:r>
        <w:t xml:space="preserve">Change history</w:t>
      </w:r>
    </w:p>
    <w:p>
      <w:pPr>
        <w:spacing w:after="80"/>
      </w:pPr>
      <w:r>
        <w:rPr>
          <w:i/>
          <w:iCs/>
          <w:color w:val="6B7280"/>
          <w:sz w:val="19"/>
          <w:szCs w:val="19"/>
        </w:rPr>
        <w:t xml:space="preserve">Every published version gets its own row. Changes to the approval list (Annex A) only can be made without a new version of the policy; note them in Annex A instead.</w:t>
      </w:r>
    </w:p>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41"/>
        <w:gridCol w:w="1223"/>
        <w:gridCol w:w="1411"/>
        <w:gridCol w:w="3010"/>
        <w:gridCol w:w="1411"/>
        <w:gridCol w:w="1411"/>
      </w:tblGrid>
      <w:tr>
        <w:trPr>
          <w:tblHeader/>
        </w:trPr>
        <w:tc>
          <w:tcPr>
            <w:tcW w:type="pct" w:w="5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Version</w:t>
            </w:r>
          </w:p>
        </w:tc>
        <w:tc>
          <w:tcPr>
            <w:tcW w:type="pct" w:w="65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Date</w:t>
            </w:r>
          </w:p>
        </w:tc>
        <w:tc>
          <w:tcPr>
            <w:tcW w:type="pct" w:w="75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Sections</w:t>
            </w:r>
          </w:p>
        </w:tc>
        <w:tc>
          <w:tcPr>
            <w:tcW w:type="pct" w:w="16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Change</w:t>
            </w:r>
          </w:p>
        </w:tc>
        <w:tc>
          <w:tcPr>
            <w:tcW w:type="pct" w:w="75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Approval</w:t>
            </w:r>
          </w:p>
        </w:tc>
        <w:tc>
          <w:tcPr>
            <w:tcW w:type="pct" w:w="75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Employee reps involved</w:t>
            </w:r>
          </w:p>
        </w:tc>
      </w:tr>
      <w:tr>
        <w:trPr>
          <w:cantSplit/>
        </w:trP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0.1</w:t>
            </w:r>
          </w:p>
        </w:tc>
        <w:tc>
          <w:tcPr>
            <w:tcW w:type="pct" w:w="6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[DD/MM/YYYY]</w:t>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all</w:t>
            </w:r>
          </w:p>
        </w:tc>
        <w:tc>
          <w:tcPr>
            <w:tcW w:type="pct" w:w="1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First draft</w:t>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[name]</w:t>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[yes/no/–]</w:t>
            </w:r>
          </w:p>
        </w:tc>
      </w:tr>
      <w:tr>
        <w:trPr>
          <w:cantSplit/>
        </w:trP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400"/>
      </w:pPr>
    </w:p>
    <w:p>
      <w:pPr>
        <w:pStyle w:val="Title"/>
      </w:pPr>
      <w:r>
        <w:t xml:space="preserve">Contents</w:t>
      </w:r>
    </w:p>
    <w:p>
      <w:pPr>
        <w:spacing w:after="80"/>
      </w:pPr>
      <w:r>
        <w:rPr>
          <w:i/>
          <w:iCs/>
          <w:color w:val="6B7280"/>
          <w:sz w:val="19"/>
          <w:szCs w:val="19"/>
        </w:rPr>
        <w:t xml:space="preserve">The table of contents is a Word field. After editing: right-click → “Update field” → “Update entire table”.</w:t>
      </w:r>
    </w:p>
    <w:sdt>
      <w:sdtPr>
        <w:alias w:val="Contents"/>
      </w:sdtPr>
      <w:sdtContent>
        <w:p>
          <w:pPr>
            <w:pStyle w:val="TOC1"/>
            <w:tabs>
              <w:tab w:val="clear" w:pos="9026"/>
              <w:tab w:val="right" w:pos="9025" w:leader="dot"/>
            </w:tabs>
          </w:pPr>
          <w:r>
            <w:fldChar w:fldCharType="begin" w:dirty="true"/>
            <w:instrText xml:space="preserve">TOC \h \o "1-1"</w:instrText>
            <w:fldChar w:fldCharType="separate"/>
          </w:r>
          <w:r>
            <w:t xml:space="default">0 How to use this template (delete before publication)</w:t>
            <w:tab/>
            <w:t xml:space="default"/>
          </w:r>
        </w:p>
        <w:p>
          <w:pPr>
            <w:pStyle w:val="TOC1"/>
            <w:tabs>
              <w:tab w:val="clear" w:pos="9026"/>
              <w:tab w:val="right" w:pos="9025" w:leader="dot"/>
            </w:tabs>
          </w:pPr>
          <w:r>
            <w:t xml:space="default">1 Purpose and scope</w:t>
            <w:tab/>
            <w:t xml:space="default"/>
          </w:r>
        </w:p>
        <w:p>
          <w:pPr>
            <w:pStyle w:val="TOC1"/>
            <w:tabs>
              <w:tab w:val="clear" w:pos="9026"/>
              <w:tab w:val="right" w:pos="9025" w:leader="dot"/>
            </w:tabs>
          </w:pPr>
          <w:r>
            <w:t xml:space="default">2 Definitions</w:t>
            <w:tab/>
            <w:t xml:space="default"/>
          </w:r>
        </w:p>
        <w:p>
          <w:pPr>
            <w:pStyle w:val="TOC1"/>
            <w:tabs>
              <w:tab w:val="clear" w:pos="9026"/>
              <w:tab w:val="right" w:pos="9025" w:leader="dot"/>
            </w:tabs>
          </w:pPr>
          <w:r>
            <w:t xml:space="default">3 Approved and prohibited AI tools</w:t>
            <w:tab/>
            <w:t xml:space="default"/>
          </w:r>
        </w:p>
        <w:p>
          <w:pPr>
            <w:pStyle w:val="TOC1"/>
            <w:tabs>
              <w:tab w:val="clear" w:pos="9026"/>
              <w:tab w:val="right" w:pos="9025" w:leader="dot"/>
            </w:tabs>
          </w:pPr>
          <w:r>
            <w:t xml:space="default">4 Data classes: what must never be entered</w:t>
            <w:tab/>
            <w:t xml:space="default"/>
          </w:r>
        </w:p>
        <w:p>
          <w:pPr>
            <w:pStyle w:val="TOC1"/>
            <w:tabs>
              <w:tab w:val="clear" w:pos="9026"/>
              <w:tab w:val="right" w:pos="9025" w:leader="dot"/>
            </w:tabs>
          </w:pPr>
          <w:r>
            <w:t xml:space="default">5 Approval process for new tools</w:t>
            <w:tab/>
            <w:t xml:space="default"/>
          </w:r>
        </w:p>
        <w:p>
          <w:pPr>
            <w:pStyle w:val="TOC1"/>
            <w:tabs>
              <w:tab w:val="clear" w:pos="9026"/>
              <w:tab w:val="right" w:pos="9025" w:leader="dot"/>
            </w:tabs>
          </w:pPr>
          <w:r>
            <w:t xml:space="default">6 Labelling AI-generated content</w:t>
            <w:tab/>
            <w:t xml:space="default"/>
          </w:r>
        </w:p>
        <w:p>
          <w:pPr>
            <w:pStyle w:val="TOC1"/>
            <w:tabs>
              <w:tab w:val="clear" w:pos="9026"/>
              <w:tab w:val="right" w:pos="9025" w:leader="dot"/>
            </w:tabs>
          </w:pPr>
          <w:r>
            <w:t xml:space="default">7 Training and AI literacy</w:t>
            <w:tab/>
            <w:t xml:space="default"/>
          </w:r>
        </w:p>
        <w:p>
          <w:pPr>
            <w:pStyle w:val="TOC1"/>
            <w:tabs>
              <w:tab w:val="clear" w:pos="9026"/>
              <w:tab w:val="right" w:pos="9025" w:leader="dot"/>
            </w:tabs>
          </w:pPr>
          <w:r>
            <w:t xml:space="default">8 Human review of outputs</w:t>
            <w:tab/>
            <w:t xml:space="default"/>
          </w:r>
        </w:p>
        <w:p>
          <w:pPr>
            <w:pStyle w:val="TOC1"/>
            <w:tabs>
              <w:tab w:val="clear" w:pos="9026"/>
              <w:tab w:val="right" w:pos="9025" w:leader="dot"/>
            </w:tabs>
          </w:pPr>
          <w:r>
            <w:t xml:space="default">9 Copyright, sources and third-party rights</w:t>
            <w:tab/>
            <w:t xml:space="default"/>
          </w:r>
        </w:p>
        <w:p>
          <w:pPr>
            <w:pStyle w:val="TOC1"/>
            <w:tabs>
              <w:tab w:val="clear" w:pos="9026"/>
              <w:tab w:val="right" w:pos="9025" w:leader="dot"/>
            </w:tabs>
          </w:pPr>
          <w:r>
            <w:t xml:space="default">10 Reporting incidents</w:t>
            <w:tab/>
            <w:t xml:space="default"/>
          </w:r>
        </w:p>
        <w:p>
          <w:pPr>
            <w:pStyle w:val="TOC1"/>
            <w:tabs>
              <w:tab w:val="clear" w:pos="9026"/>
              <w:tab w:val="right" w:pos="9025" w:leader="dot"/>
            </w:tabs>
          </w:pPr>
          <w:r>
            <w:t xml:space="default">11 Responsibilities</w:t>
            <w:tab/>
            <w:t xml:space="default"/>
          </w:r>
        </w:p>
        <w:p>
          <w:pPr>
            <w:pStyle w:val="TOC1"/>
            <w:tabs>
              <w:tab w:val="clear" w:pos="9026"/>
              <w:tab w:val="right" w:pos="9025" w:leader="dot"/>
            </w:tabs>
          </w:pPr>
          <w:r>
            <w:t xml:space="default">12 Breaches and consequences</w:t>
            <w:tab/>
            <w:t xml:space="default"/>
          </w:r>
        </w:p>
        <w:p>
          <w:pPr>
            <w:pStyle w:val="TOC1"/>
            <w:tabs>
              <w:tab w:val="clear" w:pos="9026"/>
              <w:tab w:val="right" w:pos="9025" w:leader="dot"/>
            </w:tabs>
          </w:pPr>
          <w:r>
            <w:t xml:space="default">13 Review and updates</w:t>
            <w:tab/>
            <w:t xml:space="default"/>
          </w:r>
        </w:p>
        <w:p>
          <w:pPr>
            <w:pStyle w:val="TOC1"/>
            <w:tabs>
              <w:tab w:val="clear" w:pos="9026"/>
              <w:tab w:val="right" w:pos="9025" w:leader="dot"/>
            </w:tabs>
          </w:pPr>
          <w:r>
            <w:t xml:space="default">Annex A – Tool approval list</w:t>
            <w:tab/>
            <w:t xml:space="default"/>
          </w:r>
        </w:p>
        <w:p>
          <w:pPr>
            <w:pStyle w:val="TOC1"/>
            <w:tabs>
              <w:tab w:val="clear" w:pos="9026"/>
              <w:tab w:val="right" w:pos="9025" w:leader="dot"/>
            </w:tabs>
          </w:pPr>
          <w:r>
            <w:t xml:space="default">Annex B – Data classes</w:t>
            <w:tab/>
            <w:t xml:space="default"/>
          </w:r>
        </w:p>
        <w:p>
          <w:pPr>
            <w:pStyle w:val="TOC1"/>
            <w:tabs>
              <w:tab w:val="clear" w:pos="9026"/>
              <w:tab w:val="right" w:pos="9025" w:leader="dot"/>
            </w:tabs>
          </w:pPr>
          <w:r>
            <w:t xml:space="default">Annex C – Acknowledgement</w:t>
            <w:tab/>
            <w:t xml:space="default"/>
          </w:r>
          <w:r>
            <w:fldChar w:fldCharType="end"/>
          </w:r>
        </w:p>
      </w:sdtContent>
    </w:sdt>
    <w:p>
      <w:r>
        <w:br w:type="page"/>
      </w:r>
    </w:p>
    <w:p>
      <w:pPr>
        <w:pStyle w:val="Heading1"/>
      </w:pPr>
      <w:r>
        <w:t xml:space="preserve">0 How to use this template (delete before publication)</w:t>
      </w:r>
    </w:p>
    <w:p>
      <w:pPr>
        <w:pStyle w:val="ListParagraph"/>
        <w:numPr>
          <w:ilvl w:val="0"/>
          <w:numId w:val="1"/>
        </w:numPr>
        <w:spacing w:after="100"/>
      </w:pPr>
      <w:r>
        <w:rPr>
          <w:i/>
          <w:iCs/>
          <w:color w:val="6B7280"/>
          <w:sz w:val="20"/>
          <w:szCs w:val="20"/>
        </w:rPr>
        <w:t xml:space="preserve">Cut rather than add: a policy nobody reads protects nobody. Delete blocks that do not fit; keep the sections “Approved and prohibited AI tools”, “Data classes”, “Approval process”, “Human review” and “Reporting incidents”.</w:t>
      </w:r>
    </w:p>
    <w:p>
      <w:pPr>
        <w:pStyle w:val="ListParagraph"/>
        <w:numPr>
          <w:ilvl w:val="0"/>
          <w:numId w:val="1"/>
        </w:numPr>
        <w:spacing w:after="100"/>
      </w:pPr>
      <w:r>
        <w:rPr>
          <w:i/>
          <w:iCs/>
          <w:color w:val="6B7280"/>
          <w:sz w:val="20"/>
          <w:szCs w:val="20"/>
        </w:rPr>
        <w:t xml:space="preserve">Details go into the annexes: which tools are allowed is in Annex A. That way the list can be updated without renegotiating the policy.</w:t>
      </w:r>
    </w:p>
    <w:p>
      <w:pPr>
        <w:pStyle w:val="ListParagraph"/>
        <w:numPr>
          <w:ilvl w:val="0"/>
          <w:numId w:val="1"/>
        </w:numPr>
        <w:spacing w:after="100"/>
      </w:pPr>
      <w:r>
        <w:rPr>
          <w:i/>
          <w:iCs/>
          <w:color w:val="6B7280"/>
          <w:sz w:val="20"/>
          <w:szCs w:val="20"/>
        </w:rPr>
        <w:t xml:space="preserve">Placeholders: replace everything in [square brackets]. “[Responsible body]” is, depending on size, e.g. management, an AI lead or an AI committee.</w:t>
      </w:r>
    </w:p>
    <w:p>
      <w:pPr>
        <w:pStyle w:val="ListParagraph"/>
        <w:numPr>
          <w:ilvl w:val="0"/>
          <w:numId w:val="1"/>
        </w:numPr>
        <w:spacing w:after="100"/>
      </w:pPr>
      <w:r>
        <w:rPr>
          <w:i/>
          <w:iCs/>
          <w:color w:val="6B7280"/>
          <w:sz w:val="20"/>
          <w:szCs w:val="20"/>
        </w:rPr>
        <w:t xml:space="preserve">Works council (Germany): where a works council exists, it usually has to be involved. § 90(1) no. 3 BetrVG expressly mentions planned work procedures including the use of AI; whether co-determination under § 87(1) no. 6 BetrVG applies must be checked per tool; under § 80(3) BetrVG, calling in an expert is deemed necessary where the works council has to assess AI. Outside Germany, check local information and consultation rules.</w:t>
      </w:r>
    </w:p>
    <w:p>
      <w:pPr>
        <w:pStyle w:val="ListParagraph"/>
        <w:numPr>
          <w:ilvl w:val="0"/>
          <w:numId w:val="1"/>
        </w:numPr>
        <w:spacing w:after="100"/>
      </w:pPr>
      <w:r>
        <w:rPr>
          <w:i/>
          <w:iCs/>
          <w:color w:val="6B7280"/>
          <w:sz w:val="20"/>
          <w:szCs w:val="20"/>
        </w:rPr>
        <w:t xml:space="preserve">Announcement: make the policy known in a verifiable way (Annex C or confirmation in your learning system). The briefing is also part of your AI literacy measures under Article 4 of the AI Act.</w:t>
      </w:r>
    </w:p>
    <w:p>
      <w:pPr>
        <w:pStyle w:val="Heading1"/>
        <w:keepNext/>
        <w:pageBreakBefore/>
      </w:pPr>
      <w:r>
        <w:t xml:space="preserve">1 Purpose and scope</w:t>
      </w:r>
    </w:p>
    <w:p>
      <w:pPr>
        <w:spacing w:after="80"/>
      </w:pPr>
      <w:r>
        <w:rPr>
          <w:i/>
          <w:iCs/>
          <w:color w:val="6B7280"/>
          <w:sz w:val="19"/>
          <w:szCs w:val="19"/>
        </w:rPr>
        <w:t xml:space="preserve">Why: Without a clear scope it stays unclear whether working students, freelancers or AI features inside standard software are covered. Article 4 of the AI Act expressly includes other persons acting on the company’s behalf – the policy should cover them too. Legal hook: Art. 4 AI Act; Art. 24 GDPR. (guidance – delete before approval)</w:t>
      </w:r>
    </w:p>
    <w:p>
      <w:pPr>
        <w:spacing w:after="160"/>
      </w:pPr>
      <w:r>
        <w:rPr>
          <w:sz w:val="21"/>
          <w:szCs w:val="21"/>
        </w:rPr>
        <w:t xml:space="preserve">This policy governs the use of artificial intelligence (AI) systems at [company]. It is meant to let employees use AI productively while protecting personal data, trade secrets and the rights of others. It applies to all employees, trainees and interns and to external persons who act on behalf of [company] and use AI systems in doing so [e.g. freelancers, agency workers]. It applies to stand-alone AI applications as well as to AI features built into software already in use, and also on private devices as soon as work information is processed.</w:t>
      </w:r>
    </w:p>
    <w:p>
      <w:pPr>
        <w:spacing w:after="80"/>
      </w:pPr>
      <w:r>
        <w:rPr>
          <w:i/>
          <w:iCs/>
          <w:color w:val="6B7280"/>
          <w:sz w:val="19"/>
          <w:szCs w:val="19"/>
        </w:rPr>
        <w:t xml:space="preserve">Optional, where a works council exists – add to section 1:</w:t>
      </w:r>
    </w:p>
    <w:p>
      <w:pPr>
        <w:spacing w:after="160"/>
      </w:pPr>
      <w:r>
        <w:rPr>
          <w:sz w:val="21"/>
          <w:szCs w:val="21"/>
        </w:rPr>
        <w:t xml:space="preserve">The works council was involved before this policy was introduced, in accordance with the applicable employee-representation rules [reference to the works agreement of DD/MM/YYYY, if concluded].</w:t>
      </w:r>
    </w:p>
    <w:p>
      <w:pPr>
        <w:pStyle w:val="Heading1"/>
        <w:keepNext/>
      </w:pPr>
      <w:r>
        <w:t xml:space="preserve">2 Definitions</w:t>
      </w:r>
    </w:p>
    <w:p>
      <w:pPr>
        <w:spacing w:after="80"/>
      </w:pPr>
      <w:r>
        <w:rPr>
          <w:i/>
          <w:iCs/>
          <w:color w:val="6B7280"/>
          <w:sz w:val="19"/>
          <w:szCs w:val="19"/>
        </w:rPr>
        <w:t xml:space="preserve">Why: Shared definitions stop every department from reading “AI” differently. The policy need not repeat the AI Act definition word for word, but it should refer to it and define its own terms – above all “approval list” and “data class”. Legal hook: Art. 3(1) AI Act (definition of “AI system”). (guidance – delete before approval)</w:t>
      </w:r>
    </w:p>
    <w:p>
      <w:pPr>
        <w:spacing w:after="160"/>
      </w:pPr>
      <w:r>
        <w:rPr>
          <w:sz w:val="21"/>
          <w:szCs w:val="21"/>
        </w:rPr>
        <w:t xml:space="preserve">In this policy, “AI system” means a machine-based system within the meaning of Article 3(1) of Regulation (EU) 2024/1689 which – put simply – infers from the input it receives how to generate outputs such as text, images, predictions, recommendations or decisions. “AI tool” means any application or feature through which employees use an AI system, including AI features in office software, browser extensions and apps. “Input” means any information given to an AI tool (prompts, uploaded files, voice recordings, screen content). “Output” means anything an AI tool produces. “Approval list” means the list in Annex A that sets the status green, yellow or red and the permitted data classes for each tool. “Data class” means the protection level of a piece of information under Annex B.</w:t>
      </w:r>
    </w:p>
    <w:p>
      <w:pPr>
        <w:pStyle w:val="Heading1"/>
        <w:keepNext/>
      </w:pPr>
      <w:r>
        <w:t xml:space="preserve">3 Approved and prohibited AI tools</w:t>
      </w:r>
    </w:p>
    <w:p>
      <w:pPr>
        <w:spacing w:after="80"/>
      </w:pPr>
      <w:r>
        <w:rPr>
          <w:i/>
          <w:iCs/>
          <w:color w:val="6B7280"/>
          <w:sz w:val="19"/>
          <w:szCs w:val="19"/>
        </w:rPr>
        <w:t xml:space="preserve">Why: A ban without an approved alternative pushes use into private accounts. The traffic light shows at a glance what is allowed and can be updated without renegotiating the policy itself. Legal hook: Art. 5, 24, 28, 32 GDPR; Art. 5 AI Act. (guidance – delete before approval)</w:t>
      </w:r>
    </w:p>
    <w:p>
      <w:pPr>
        <w:spacing w:after="160"/>
      </w:pPr>
      <w:r>
        <w:rPr>
          <w:sz w:val="21"/>
          <w:szCs w:val="21"/>
        </w:rPr>
        <w:t xml:space="preserve">For work purposes, only AI tools listed in the approval list (Annex A) may be used. Green means: approved for the data classes stated there. Yellow means: approved subject to the conditions Annex A sets for that tool (e.g. only certain purposes, teams or data classes). Red means: not permitted for work purposes. Tools not on the list count as red until they have been reviewed in the approval process (section “Approval process for new tools”). Only accounts provided by [company] are used; private accounts are not permitted for work content. AI practices prohibited under Article 5 of the AI Act – such as recognising the emotions of employees in the workplace – are forbidden whatever the tool. [Responsible body] maintains the approval list and announces changes.</w:t>
      </w:r>
    </w:p>
    <w:p>
      <w:pPr>
        <w:pStyle w:val="Heading1"/>
        <w:keepNext/>
      </w:pPr>
      <w:r>
        <w:t xml:space="preserve">4 Data classes: what must never be entered</w:t>
      </w:r>
    </w:p>
    <w:p>
      <w:pPr>
        <w:spacing w:after="80"/>
      </w:pPr>
      <w:r>
        <w:rPr>
          <w:i/>
          <w:iCs/>
          <w:color w:val="6B7280"/>
          <w:sz w:val="19"/>
          <w:szCs w:val="19"/>
        </w:rPr>
        <w:t xml:space="preserve">Why: Employees cannot check legal bases before every prompt. Data classes turn data minimisation, confidentiality and trade-secret protection into a rule that takes seconds to apply before pressing send – and they document reasonable secrecy measures at the same time. Legal hook: Art. 5, 32 GDPR; for Germany § 2 no. 1(b) GeschGehG. (guidance – delete before approval)</w:t>
      </w:r>
    </w:p>
    <w:p>
      <w:pPr>
        <w:spacing w:after="160"/>
      </w:pPr>
      <w:r>
        <w:rPr>
          <w:sz w:val="21"/>
          <w:szCs w:val="21"/>
        </w:rPr>
        <w:t xml:space="preserve">Before every input, employees check which data class the information belongs to (Annex B) and only use tools approved for that class. Class 1 (public) and class 2 (internal) may be entered into all green tools, and into yellow tools only where their conditions allow it. Class 3 (confidential, in particular personal data of customers, employees and applicants) may only be entered into tools that Annex A expressly approves for class 3. Class 4 (strictly confidential) is never entered into AI tools. This includes in particular passwords, credentials and API keys, trade secrets such as [cost calculations, formulas, unpublished product plans], health data and content from personnel files. Where possible, inputs are anonymised first or cut down to what is necessary.</w:t>
      </w:r>
    </w:p>
    <w:p>
      <w:pPr>
        <w:spacing w:after="80"/>
      </w:pPr>
      <w:r>
        <w:rPr>
          <w:i/>
          <w:iCs/>
          <w:color w:val="6B7280"/>
          <w:sz w:val="19"/>
          <w:szCs w:val="19"/>
        </w:rPr>
        <w:t xml:space="preserve">Add sector-specific rules, e.g. “Source code is only entered into expressly approved code assistants.” or “Patient and health data always belongs to class 4.”</w:t>
      </w:r>
    </w:p>
    <w:p>
      <w:pPr>
        <w:spacing w:after="160"/>
      </w:pPr>
      <w:r>
        <w:rPr>
          <w:sz w:val="21"/>
          <w:szCs w:val="21"/>
        </w:rPr>
        <w:t xml:space="preserve">[…]</w:t>
      </w:r>
    </w:p>
    <w:p>
      <w:pPr>
        <w:pStyle w:val="Heading1"/>
        <w:keepNext/>
      </w:pPr>
      <w:r>
        <w:t xml:space="preserve">5 Approval process for new tools</w:t>
      </w:r>
    </w:p>
    <w:p>
      <w:pPr>
        <w:spacing w:after="80"/>
      </w:pPr>
      <w:r>
        <w:rPr>
          <w:i/>
          <w:iCs/>
          <w:color w:val="6B7280"/>
          <w:sz w:val="19"/>
          <w:szCs w:val="19"/>
        </w:rPr>
        <w:t xml:space="preserve">Why: New AI tools and new AI features in existing software arrive all the time. A lean, fast approval route is the most effective protection against shadow AI – and the place where data protection, information security and employee representation come together. Legal hook: Art. 28, 32, 35, 44 et seq. GDPR; Art. 26 AI Act; for Germany §§ 87, 90 BetrVG. (guidance – delete before approval)</w:t>
      </w:r>
    </w:p>
    <w:p>
      <w:pPr>
        <w:spacing w:after="160"/>
      </w:pPr>
      <w:r>
        <w:rPr>
          <w:sz w:val="21"/>
          <w:szCs w:val="21"/>
        </w:rPr>
        <w:t xml:space="preserve">Anyone who wants to use a new AI tool or a new AI feature for work submits a request to [team or mailbox] stating purpose, users, expected data classes and vendor. [Responsible body] reviews, together with data protection and information security, in particular: the contractual basis and the data processing agreement (Art. 28 GDPR), where data is stored and any transfers to third countries (Art. 44 et seq. GDPR), whether inputs are used to train the vendor’s models, the access and deletion concept, whether a data protection impact assessment is required (Art. 35 GDPR) and whether the system is to be classified as a high-risk AI system under the AI Act. Where a works council exists, it is involved before introduction. The result – green, yellow with conditions, or red – is recorded in Annex A and in the AI register. The target is a decision within [10] working days.</w:t>
      </w:r>
    </w:p>
    <w:p>
      <w:pPr>
        <w:pStyle w:val="Heading1"/>
        <w:keepNext/>
      </w:pPr>
      <w:r>
        <w:t xml:space="preserve">6 Labelling AI-generated content</w:t>
      </w:r>
    </w:p>
    <w:p>
      <w:pPr>
        <w:spacing w:after="80"/>
      </w:pPr>
      <w:r>
        <w:rPr>
          <w:i/>
          <w:iCs/>
          <w:color w:val="6B7280"/>
          <w:sz w:val="19"/>
          <w:szCs w:val="19"/>
        </w:rPr>
        <w:t xml:space="preserve">Why: The transparency obligations in Article 50 of the AI Act have applied since 2 August 2026. For companies that use AI, this mainly concerns deepfakes and published AI text on matters of public interest. The policy turns that into simple rules – and can deliberately go further for customer communication. Legal hook: Art. 50 AI Act (since 2 August 2026). (guidance – delete before approval)</w:t>
      </w:r>
    </w:p>
    <w:p>
      <w:pPr>
        <w:spacing w:after="160"/>
      </w:pPr>
      <w:r>
        <w:rPr>
          <w:sz w:val="21"/>
          <w:szCs w:val="21"/>
        </w:rPr>
        <w:t xml:space="preserve">Image, audio or video content generated or manipulated with AI that depicts real persons, places or events in a way that could falsely appear authentic (deepfakes) is disclosed as AI-generated when published. Text generated or manipulated with AI that is published to inform the public on matters of public interest is also disclosed – unless it has undergone human review or editorial control and a person or [company] holds editorial responsibility. In addition: [customer communication created mainly with AI is reviewed by a responsible person before it is sent.] [Team] provides wording for disclosure notices.</w:t>
      </w:r>
    </w:p>
    <w:p>
      <w:pPr>
        <w:pStyle w:val="Heading1"/>
        <w:keepNext/>
      </w:pPr>
      <w:r>
        <w:t xml:space="preserve">7 Training and AI literacy</w:t>
      </w:r>
    </w:p>
    <w:p>
      <w:pPr>
        <w:spacing w:after="80"/>
      </w:pPr>
      <w:r>
        <w:rPr>
          <w:i/>
          <w:iCs/>
          <w:color w:val="6B7280"/>
          <w:sz w:val="19"/>
          <w:szCs w:val="19"/>
        </w:rPr>
        <w:t xml:space="preserve">Why: Article 4 of the AI Act requires providers and deployers to take measures to support the AI literacy of their staff and other persons acting on their behalf. A particular level does not have to be guaranteed for each person – but the measures should be traceable. The policy says which ones. Legal hook: Art. 4 AI Act as amended by Regulation (EU) 2026/1744. (guidance – delete before approval)</w:t>
      </w:r>
    </w:p>
    <w:p>
      <w:pPr>
        <w:spacing w:after="160"/>
      </w:pPr>
      <w:r>
        <w:rPr>
          <w:sz w:val="21"/>
          <w:szCs w:val="21"/>
        </w:rPr>
        <w:t xml:space="preserve">Before employees use AI tools for work, they attend a briefing on this policy [format, e.g. a 30-minute e-learning]. Anyone who uses AI tools regularly or for higher-risk tasks [e.g. HR, customer communication, software development] receives in-depth training on how AI works and typical errors, on data protection and on the duties under this policy. Attendance and acknowledgement of the policy are recorded. The content is updated when the policy or the approved tools change significantly.</w:t>
      </w:r>
    </w:p>
    <w:p>
      <w:pPr>
        <w:pStyle w:val="Heading1"/>
        <w:keepNext/>
      </w:pPr>
      <w:r>
        <w:t xml:space="preserve">8 Human review of outputs</w:t>
      </w:r>
    </w:p>
    <w:p>
      <w:pPr>
        <w:spacing w:after="80"/>
      </w:pPr>
      <w:r>
        <w:rPr>
          <w:i/>
          <w:iCs/>
          <w:color w:val="6B7280"/>
          <w:sz w:val="19"/>
          <w:szCs w:val="19"/>
        </w:rPr>
        <w:t xml:space="preserve">Why: AI output sounds convincing even when it is wrong. Responsibility for a piece of work stays with the person who uses it. For high-risk AI systems, separate deployer obligations build on this basic rule. Legal hook: Art. 5 GDPR (accuracy); Art. 26 AI Act for high-risk AI. (guidance – delete before approval)</w:t>
      </w:r>
    </w:p>
    <w:p>
      <w:pPr>
        <w:spacing w:after="160"/>
      </w:pPr>
      <w:r>
        <w:rPr>
          <w:sz w:val="21"/>
          <w:szCs w:val="21"/>
        </w:rPr>
        <w:t xml:space="preserve">AI outputs are drafts. Anyone who uses an output checks it beforehand for factual accuracy, completeness, currency and appropriateness and bears the same responsibility for it as for their own work. Figures, quotations, references and legal statements are checked against the original source. Decisions that significantly affect people [e.g. hiring, performance reviews, contract decisions] are not taken on the basis of an AI output alone; a competent person decides and records the reasons. For AI systems classified as high-risk, the oversight measures set out in the AI register apply in addition.</w:t>
      </w:r>
    </w:p>
    <w:p>
      <w:pPr>
        <w:pStyle w:val="Heading1"/>
        <w:keepNext/>
      </w:pPr>
      <w:r>
        <w:t xml:space="preserve">9 Copyright, sources and third-party rights</w:t>
      </w:r>
    </w:p>
    <w:p>
      <w:pPr>
        <w:spacing w:after="80"/>
      </w:pPr>
      <w:r>
        <w:rPr>
          <w:i/>
          <w:iCs/>
          <w:color w:val="6B7280"/>
          <w:sz w:val="19"/>
          <w:szCs w:val="19"/>
        </w:rPr>
        <w:t xml:space="preserve">Why: Whether an AI output is protected or infringes the rights of others cannot be answered across the board. The policy therefore governs behaviour: what may be uploaded and what is checked before publication. Legal hook: Copyright, trade mark and personality rights; vendor terms of use. (guidance – delete before approval)</w:t>
      </w:r>
    </w:p>
    <w:p>
      <w:pPr>
        <w:spacing w:after="160"/>
      </w:pPr>
      <w:r>
        <w:rPr>
          <w:sz w:val="21"/>
          <w:szCs w:val="21"/>
        </w:rPr>
        <w:t xml:space="preserve">Third-party copyrighted content [e.g. articles, images, third-party software] is only uploaded to AI tools where the usage rights allow it. Outputs that are published or passed on to customers are checked for recognisable copies of others’ works, trade marks or likenesses of real people. Prompts designed to imitate the works or distinctive style of specific living artists, or others’ trade marks, are not used for published content. Licence notices are respected for code suggestions. What a tool’s terms of use say about rights in outputs is noted in Annex A.</w:t>
      </w:r>
    </w:p>
    <w:p>
      <w:pPr>
        <w:pStyle w:val="Heading1"/>
        <w:keepNext/>
      </w:pPr>
      <w:r>
        <w:t xml:space="preserve">10 Reporting incidents</w:t>
      </w:r>
    </w:p>
    <w:p>
      <w:pPr>
        <w:spacing w:after="80"/>
      </w:pPr>
      <w:r>
        <w:rPr>
          <w:i/>
          <w:iCs/>
          <w:color w:val="6B7280"/>
          <w:sz w:val="19"/>
          <w:szCs w:val="19"/>
        </w:rPr>
        <w:t xml:space="preserve">Why: Someone who has accidentally pasted customer data into the wrong tool must be able to report it at once and without fear. The earlier an incident is known, the more can be contained – and for personal data breaches, short statutory notification deadlines may apply. Legal hook: Art. 24, 32 GDPR. (guidance – delete before approval)</w:t>
      </w:r>
    </w:p>
    <w:p>
      <w:pPr>
        <w:spacing w:after="160"/>
      </w:pPr>
      <w:r>
        <w:rPr>
          <w:sz w:val="21"/>
          <w:szCs w:val="21"/>
        </w:rPr>
        <w:t xml:space="preserve">Employees report without delay to [name/role, email]: entering class 3 or 4 data into a tool not approved for it; AI outputs with discriminatory, dangerous or obviously unlawful content; any suspicion that an AI tool discloses confidential information or has been manipulated; and malfunctions of AI systems affecting customers or employees. Where possible, the report includes the date, the tool, the type of data and any steps already taken. In the event of a possible personal data breach, the data protection officer is involved immediately. [Anyone who reports their own mistake promptly will not be disadvantaged for doing so.]</w:t>
      </w:r>
    </w:p>
    <w:p>
      <w:pPr>
        <w:pStyle w:val="Heading1"/>
        <w:keepNext/>
      </w:pPr>
      <w:r>
        <w:t xml:space="preserve">11 Responsibilities</w:t>
      </w:r>
    </w:p>
    <w:p>
      <w:pPr>
        <w:spacing w:after="80"/>
      </w:pPr>
      <w:r>
        <w:rPr>
          <w:i/>
          <w:iCs/>
          <w:color w:val="6B7280"/>
          <w:sz w:val="19"/>
          <w:szCs w:val="19"/>
        </w:rPr>
        <w:t xml:space="preserve">Why: Without an owner, the approval list is out of date within a few months. Clear roles are also the foundation that later deployer obligations for high-risk AI systems build on. Legal hook: Art. 24 GDPR; Art. 4, 26 AI Act. (guidance – delete before approval)</w:t>
      </w:r>
    </w:p>
    <w:p>
      <w:pPr>
        <w:spacing w:after="160"/>
      </w:pPr>
      <w:r>
        <w:rPr>
          <w:sz w:val="21"/>
          <w:szCs w:val="21"/>
        </w:rPr>
        <w:t xml:space="preserve">[Responsible body] is responsible for this policy, the approval list and the AI register. Managers make sure their teams know the policy and use approved tools only. IT provides accounts and implements technical controls [e.g. single sign-on, blocking of non-approved services]. The data protection officer advises on approvals and incidents. Departments that use an AI system name a responsible person who keeps the AI register entry up to date. Contact for questions about this policy: [name/role, email].</w:t>
      </w:r>
    </w:p>
    <w:p>
      <w:pPr>
        <w:pStyle w:val="Heading1"/>
        <w:keepNext/>
      </w:pPr>
      <w:r>
        <w:t xml:space="preserve">12 Breaches and consequences</w:t>
      </w:r>
    </w:p>
    <w:p>
      <w:pPr>
        <w:spacing w:after="80"/>
      </w:pPr>
      <w:r>
        <w:rPr>
          <w:i/>
          <w:iCs/>
          <w:color w:val="6B7280"/>
          <w:sz w:val="19"/>
          <w:szCs w:val="19"/>
        </w:rPr>
        <w:t xml:space="preserve">Why: A policy without consequences is not taken seriously; a policy that only threatens prevents honest reporting. A graduated response makes sense. Which employment-law measures are possible in an individual case should be checked by an employment lawyer. Legal hook: Employment law – check case by case. (guidance – delete before approval)</w:t>
      </w:r>
    </w:p>
    <w:p>
      <w:pPr>
        <w:spacing w:after="160"/>
      </w:pPr>
      <w:r>
        <w:rPr>
          <w:sz w:val="21"/>
          <w:szCs w:val="21"/>
        </w:rPr>
        <w:t xml:space="preserve">Breaches of this policy are assessed case by case. The focus is on limiting possible harm, establishing the facts and preventing repetition [e.g. refresher training, adjusted permissions]. Deliberate or repeated breaches may have employment-law consequences. For external persons, the contractual provisions apply.</w:t>
      </w:r>
    </w:p>
    <w:p>
      <w:pPr>
        <w:pStyle w:val="Heading1"/>
        <w:keepNext/>
      </w:pPr>
      <w:r>
        <w:t xml:space="preserve">13 Review and updates</w:t>
      </w:r>
    </w:p>
    <w:p>
      <w:pPr>
        <w:spacing w:after="80"/>
      </w:pPr>
      <w:r>
        <w:rPr>
          <w:i/>
          <w:iCs/>
          <w:color w:val="6B7280"/>
          <w:sz w:val="19"/>
          <w:szCs w:val="19"/>
        </w:rPr>
        <w:t xml:space="preserve">Why: AI tools, contract terms and the law change faster than most company policies. The GDPR requires technical and organisational measures to be reviewed and updated where necessary – a fixed cycle makes that plannable. Legal hook: Art. 24(1) GDPR. (guidance – delete before approval)</w:t>
      </w:r>
    </w:p>
    <w:p>
      <w:pPr>
        <w:spacing w:after="160"/>
      </w:pPr>
      <w:r>
        <w:rPr>
          <w:sz w:val="21"/>
          <w:szCs w:val="21"/>
        </w:rPr>
        <w:t xml:space="preserve">[Responsible body] reviews this policy and the approval list [at least once a year] and whenever there is cause, in particular new legal requirements, significant changes to approved tools, incidents and new use cases. Changes to the approval list can be made without amending the policy and are announced via [channel, e.g. intranet]. Every version gets a version number and is recorded in the change history. This version applies from [date].</w:t>
      </w:r>
    </w:p>
    <w:p>
      <w:pPr>
        <w:pStyle w:val="Heading1"/>
        <w:pageBreakBefore/>
      </w:pPr>
      <w:r>
        <w:t xml:space="preserve">Annex A – Tool approval list</w:t>
      </w:r>
    </w:p>
    <w:p>
      <w:pPr>
        <w:spacing w:after="80"/>
      </w:pPr>
      <w:r>
        <w:rPr>
          <w:i/>
          <w:iCs/>
          <w:color w:val="6B7280"/>
          <w:sz w:val="19"/>
          <w:szCs w:val="19"/>
        </w:rPr>
        <w:t xml:space="preserve">The italic rows are examples of tool categories, not assessments of specific vendors – replace or delete them. Unlisted tools count as red. Data classes: see Annex B.</w:t>
      </w:r>
    </w:p>
    <w:p>
      <w:pPr>
        <w:spacing w:after="120"/>
      </w:pPr>
      <w:r>
        <w:rPr>
          <w:color w:val="6B7280"/>
          <w:sz w:val="19"/>
          <w:szCs w:val="19"/>
        </w:rPr>
        <w:t xml:space="preserve">List status: [DD/MM/YYYY] · maintained by: [Responsible body]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069"/>
        <w:gridCol w:w="1317"/>
        <w:gridCol w:w="1317"/>
        <w:gridCol w:w="1129"/>
        <w:gridCol w:w="3574"/>
      </w:tblGrid>
      <w:tr>
        <w:trPr>
          <w:tblHeader/>
        </w:trPr>
        <w:tc>
          <w:tcPr>
            <w:tcW w:type="pct" w:w="11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Tool</w:t>
            </w:r>
          </w:p>
        </w:tc>
        <w:tc>
          <w:tcPr>
            <w:tcW w:type="pct" w:w="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Vendor</w:t>
            </w:r>
          </w:p>
        </w:tc>
        <w:tc>
          <w:tcPr>
            <w:tcW w:type="pct" w:w="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Status (green / yellow / red)</w:t>
            </w:r>
          </w:p>
        </w:tc>
        <w:tc>
          <w:tcPr>
            <w:tcW w:type="pct" w:w="6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Permitted data classes</w:t>
            </w:r>
          </w:p>
        </w:tc>
        <w:tc>
          <w:tcPr>
            <w:tcW w:type="pct" w:w="19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Conditions</w:t>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Chat assistant with a company licence (company account, single sign-on)</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[vendor]</w:t>
            </w:r>
          </w:p>
        </w:tc>
        <w:tc>
          <w:tcPr>
            <w:tcW w:type="pct" w:w="700"/>
            <w:tcBorders>
              <w:top w:val="single" w:color="D1D5DB" w:sz="4"/>
              <w:left w:val="single" w:color="D1D5DB" w:sz="4"/>
              <w:bottom w:val="single" w:color="D1D5DB" w:sz="4"/>
              <w:right w:val="single" w:color="D1D5DB" w:sz="4"/>
            </w:tcBorders>
            <w:shd w:fill="D1FAE5" w:color="auto" w:val="clear"/>
            <w:tcMar>
              <w:top w:type="dxa" w:w="60"/>
              <w:left w:type="dxa" w:w="90"/>
              <w:bottom w:type="dxa" w:w="60"/>
              <w:right w:type="dxa" w:w="90"/>
            </w:tcMar>
          </w:tcPr>
          <w:p>
            <w:r>
              <w:rPr>
                <w:b w:val="false"/>
                <w:bCs w:val="false"/>
                <w:i/>
                <w:iCs/>
                <w:color w:val="475569"/>
                <w:sz w:val="19"/>
                <w:szCs w:val="19"/>
              </w:rPr>
              <w:t xml:space="preserve">Green</w:t>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1–3</w:t>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DPA in place, use of inputs for training contractually excluded or switched off, storage location checked</w:t>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AI features in the approved office suite (summarising, drafting)</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[vendor]</w:t>
            </w:r>
          </w:p>
        </w:tc>
        <w:tc>
          <w:tcPr>
            <w:tcW w:type="pct" w:w="700"/>
            <w:tcBorders>
              <w:top w:val="single" w:color="D1D5DB" w:sz="4"/>
              <w:left w:val="single" w:color="D1D5DB" w:sz="4"/>
              <w:bottom w:val="single" w:color="D1D5DB" w:sz="4"/>
              <w:right w:val="single" w:color="D1D5DB" w:sz="4"/>
            </w:tcBorders>
            <w:shd w:fill="D1FAE5" w:color="auto" w:val="clear"/>
            <w:tcMar>
              <w:top w:type="dxa" w:w="60"/>
              <w:left w:type="dxa" w:w="90"/>
              <w:bottom w:type="dxa" w:w="60"/>
              <w:right w:type="dxa" w:w="90"/>
            </w:tcMar>
          </w:tcPr>
          <w:p>
            <w:r>
              <w:rPr>
                <w:b w:val="false"/>
                <w:bCs w:val="false"/>
                <w:i/>
                <w:iCs/>
                <w:color w:val="475569"/>
                <w:sz w:val="19"/>
                <w:szCs w:val="19"/>
              </w:rPr>
              <w:t xml:space="preserve">Green</w:t>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1–3</w:t>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Only in the company tenant; use new AI features only once IT has announced them</w:t>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AI translator with a business account</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[vendor]</w:t>
            </w:r>
          </w:p>
        </w:tc>
        <w:tc>
          <w:tcPr>
            <w:tcW w:type="pct" w:w="700"/>
            <w:tcBorders>
              <w:top w:val="single" w:color="D1D5DB" w:sz="4"/>
              <w:left w:val="single" w:color="D1D5DB" w:sz="4"/>
              <w:bottom w:val="single" w:color="D1D5DB" w:sz="4"/>
              <w:right w:val="single" w:color="D1D5DB" w:sz="4"/>
            </w:tcBorders>
            <w:shd w:fill="FEF3C7" w:color="auto" w:val="clear"/>
            <w:tcMar>
              <w:top w:type="dxa" w:w="60"/>
              <w:left w:type="dxa" w:w="90"/>
              <w:bottom w:type="dxa" w:w="60"/>
              <w:right w:type="dxa" w:w="90"/>
            </w:tcMar>
          </w:tcPr>
          <w:p>
            <w:r>
              <w:rPr>
                <w:b w:val="false"/>
                <w:bCs w:val="false"/>
                <w:i/>
                <w:iCs/>
                <w:color w:val="475569"/>
                <w:sz w:val="19"/>
                <w:szCs w:val="19"/>
              </w:rPr>
              <w:t xml:space="preserve">Yellow</w:t>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1–2</w:t>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No contracts and no personal data; proofread specialist translations before sending</w:t>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Code assistant in the IDE</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[vendor]</w:t>
            </w:r>
          </w:p>
        </w:tc>
        <w:tc>
          <w:tcPr>
            <w:tcW w:type="pct" w:w="700"/>
            <w:tcBorders>
              <w:top w:val="single" w:color="D1D5DB" w:sz="4"/>
              <w:left w:val="single" w:color="D1D5DB" w:sz="4"/>
              <w:bottom w:val="single" w:color="D1D5DB" w:sz="4"/>
              <w:right w:val="single" w:color="D1D5DB" w:sz="4"/>
            </w:tcBorders>
            <w:shd w:fill="FEF3C7" w:color="auto" w:val="clear"/>
            <w:tcMar>
              <w:top w:type="dxa" w:w="60"/>
              <w:left w:type="dxa" w:w="90"/>
              <w:bottom w:type="dxa" w:w="60"/>
              <w:right w:type="dxa" w:w="90"/>
            </w:tcMar>
          </w:tcPr>
          <w:p>
            <w:r>
              <w:rPr>
                <w:b w:val="false"/>
                <w:bCs w:val="false"/>
                <w:i/>
                <w:iCs/>
                <w:color w:val="475569"/>
                <w:sz w:val="19"/>
                <w:szCs w:val="19"/>
              </w:rPr>
              <w:t xml:space="preserve">Yellow</w:t>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1–2</w:t>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No secrets, credentials or customer data in context; check suggestions in review, respect licence notices</w:t>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Image generator</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[vendor]</w:t>
            </w:r>
          </w:p>
        </w:tc>
        <w:tc>
          <w:tcPr>
            <w:tcW w:type="pct" w:w="700"/>
            <w:tcBorders>
              <w:top w:val="single" w:color="D1D5DB" w:sz="4"/>
              <w:left w:val="single" w:color="D1D5DB" w:sz="4"/>
              <w:bottom w:val="single" w:color="D1D5DB" w:sz="4"/>
              <w:right w:val="single" w:color="D1D5DB" w:sz="4"/>
            </w:tcBorders>
            <w:shd w:fill="FEF3C7" w:color="auto" w:val="clear"/>
            <w:tcMar>
              <w:top w:type="dxa" w:w="60"/>
              <w:left w:type="dxa" w:w="90"/>
              <w:bottom w:type="dxa" w:w="60"/>
              <w:right w:type="dxa" w:w="90"/>
            </w:tcMar>
          </w:tcPr>
          <w:p>
            <w:r>
              <w:rPr>
                <w:b w:val="false"/>
                <w:bCs w:val="false"/>
                <w:i/>
                <w:iCs/>
                <w:color w:val="475569"/>
                <w:sz w:val="19"/>
                <w:szCs w:val="19"/>
              </w:rPr>
              <w:t xml:space="preserve">Yellow</w:t>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1</w:t>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Drafts or labelled publications only; do not recreate real people</w:t>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Meeting assistant with transcription</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[vendor]</w:t>
            </w:r>
          </w:p>
        </w:tc>
        <w:tc>
          <w:tcPr>
            <w:tcW w:type="pct" w:w="700"/>
            <w:tcBorders>
              <w:top w:val="single" w:color="D1D5DB" w:sz="4"/>
              <w:left w:val="single" w:color="D1D5DB" w:sz="4"/>
              <w:bottom w:val="single" w:color="D1D5DB" w:sz="4"/>
              <w:right w:val="single" w:color="D1D5DB" w:sz="4"/>
            </w:tcBorders>
            <w:shd w:fill="FEF3C7" w:color="auto" w:val="clear"/>
            <w:tcMar>
              <w:top w:type="dxa" w:w="60"/>
              <w:left w:type="dxa" w:w="90"/>
              <w:bottom w:type="dxa" w:w="60"/>
              <w:right w:type="dxa" w:w="90"/>
            </w:tcMar>
          </w:tcPr>
          <w:p>
            <w:r>
              <w:rPr>
                <w:b w:val="false"/>
                <w:bCs w:val="false"/>
                <w:i/>
                <w:iCs/>
                <w:color w:val="475569"/>
                <w:sz w:val="19"/>
                <w:szCs w:val="19"/>
              </w:rPr>
              <w:t xml:space="preserve">Yellow</w:t>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1–3 after individual approval</w:t>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Announce in advance, allow objections; check works council involvement before introduction (in Germany § 87(1) no. 6 BetrVG)</w:t>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Free version of a chat assistant on a private account</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[vendor]</w:t>
            </w:r>
          </w:p>
        </w:tc>
        <w:tc>
          <w:tcPr>
            <w:tcW w:type="pct" w:w="700"/>
            <w:tcBorders>
              <w:top w:val="single" w:color="D1D5DB" w:sz="4"/>
              <w:left w:val="single" w:color="D1D5DB" w:sz="4"/>
              <w:bottom w:val="single" w:color="D1D5DB" w:sz="4"/>
              <w:right w:val="single" w:color="D1D5DB" w:sz="4"/>
            </w:tcBorders>
            <w:shd w:fill="FEE2E2" w:color="auto" w:val="clear"/>
            <w:tcMar>
              <w:top w:type="dxa" w:w="60"/>
              <w:left w:type="dxa" w:w="90"/>
              <w:bottom w:type="dxa" w:w="60"/>
              <w:right w:type="dxa" w:w="90"/>
            </w:tcMar>
          </w:tcPr>
          <w:p>
            <w:r>
              <w:rPr>
                <w:b w:val="false"/>
                <w:bCs w:val="false"/>
                <w:i/>
                <w:iCs/>
                <w:color w:val="475569"/>
                <w:sz w:val="19"/>
                <w:szCs w:val="19"/>
              </w:rPr>
              <w:t xml:space="preserve">Red</w:t>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w:t>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No work use; use the approved assistant instead</w:t>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Browser extensions with AI that read page content</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[vendor]</w:t>
            </w:r>
          </w:p>
        </w:tc>
        <w:tc>
          <w:tcPr>
            <w:tcW w:type="pct" w:w="700"/>
            <w:tcBorders>
              <w:top w:val="single" w:color="D1D5DB" w:sz="4"/>
              <w:left w:val="single" w:color="D1D5DB" w:sz="4"/>
              <w:bottom w:val="single" w:color="D1D5DB" w:sz="4"/>
              <w:right w:val="single" w:color="D1D5DB" w:sz="4"/>
            </w:tcBorders>
            <w:shd w:fill="FEE2E2" w:color="auto" w:val="clear"/>
            <w:tcMar>
              <w:top w:type="dxa" w:w="60"/>
              <w:left w:type="dxa" w:w="90"/>
              <w:bottom w:type="dxa" w:w="60"/>
              <w:right w:type="dxa" w:w="90"/>
            </w:tcMar>
          </w:tcPr>
          <w:p>
            <w:r>
              <w:rPr>
                <w:b w:val="false"/>
                <w:bCs w:val="false"/>
                <w:i/>
                <w:iCs/>
                <w:color w:val="475569"/>
                <w:sz w:val="19"/>
                <w:szCs w:val="19"/>
              </w:rPr>
              <w:t xml:space="preserve">Red</w:t>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w:t>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Only after individual approval by IT</w:t>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Tools that recognise employees’ emotions</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[vendor]</w:t>
            </w:r>
          </w:p>
        </w:tc>
        <w:tc>
          <w:tcPr>
            <w:tcW w:type="pct" w:w="700"/>
            <w:tcBorders>
              <w:top w:val="single" w:color="D1D5DB" w:sz="4"/>
              <w:left w:val="single" w:color="D1D5DB" w:sz="4"/>
              <w:bottom w:val="single" w:color="D1D5DB" w:sz="4"/>
              <w:right w:val="single" w:color="D1D5DB" w:sz="4"/>
            </w:tcBorders>
            <w:shd w:fill="FEE2E2" w:color="auto" w:val="clear"/>
            <w:tcMar>
              <w:top w:type="dxa" w:w="60"/>
              <w:left w:type="dxa" w:w="90"/>
              <w:bottom w:type="dxa" w:w="60"/>
              <w:right w:type="dxa" w:w="90"/>
            </w:tcMar>
          </w:tcPr>
          <w:p>
            <w:r>
              <w:rPr>
                <w:b w:val="false"/>
                <w:bCs w:val="false"/>
                <w:i/>
                <w:iCs/>
                <w:color w:val="475569"/>
                <w:sz w:val="19"/>
                <w:szCs w:val="19"/>
              </w:rPr>
              <w:t xml:space="preserve">Red</w:t>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w:t>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i/>
                <w:iCs/>
                <w:color w:val="475569"/>
                <w:sz w:val="19"/>
                <w:szCs w:val="19"/>
              </w:rPr>
              <w:t xml:space="preserve">Prohibited practice under Art. 5 AI Act (apart from narrow exceptions)</w:t>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pStyle w:val="Heading1"/>
        <w:pageBreakBefore/>
      </w:pPr>
      <w:r>
        <w:t xml:space="preserve">Annex B – Data classes</w:t>
      </w:r>
    </w:p>
    <w:p>
      <w:pPr>
        <w:spacing w:after="80"/>
      </w:pPr>
      <w:r>
        <w:rPr>
          <w:i/>
          <w:iCs/>
          <w:color w:val="6B7280"/>
          <w:sz w:val="19"/>
          <w:szCs w:val="19"/>
        </w:rPr>
        <w:t xml:space="preserve">Add typical information from your own company to the examples. If in doubt, the higher class applies.</w:t>
      </w:r>
    </w:p>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47"/>
        <w:gridCol w:w="1599"/>
        <w:gridCol w:w="4139"/>
        <w:gridCol w:w="2822"/>
      </w:tblGrid>
      <w:tr>
        <w:trPr>
          <w:tblHeader/>
        </w:trPr>
        <w:tc>
          <w:tcPr>
            <w:tcW w:type="pct" w:w="45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Class</w:t>
            </w:r>
          </w:p>
        </w:tc>
        <w:tc>
          <w:tcPr>
            <w:tcW w:type="pct" w:w="85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Name</w:t>
            </w:r>
          </w:p>
        </w:tc>
        <w:tc>
          <w:tcPr>
            <w:tcW w:type="pct" w:w="22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Examples</w:t>
            </w:r>
          </w:p>
        </w:tc>
        <w:tc>
          <w:tcPr>
            <w:tcW w:type="pct" w:w="15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Rule for AI tools</w:t>
            </w:r>
          </w:p>
        </w:tc>
      </w:tr>
      <w:tr>
        <w:trPr>
          <w:cantSplit/>
        </w:trPr>
        <w:tc>
          <w:tcPr>
            <w:tcW w:type="pct" w:w="45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val="false"/>
                <w:bCs w:val="false"/>
                <w:sz w:val="19"/>
                <w:szCs w:val="19"/>
              </w:rPr>
              <w:t xml:space="preserve">1</w:t>
            </w:r>
          </w:p>
        </w:tc>
        <w:tc>
          <w:tcPr>
            <w:tcW w:type="pct" w:w="8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Public</w:t>
            </w:r>
          </w:p>
        </w:tc>
        <w:tc>
          <w:tcPr>
            <w:tcW w:type="pct" w:w="2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Published website and product copy, press releases, publicly available professional information</w:t>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Allowed in all green and yellow tools</w:t>
            </w:r>
          </w:p>
        </w:tc>
      </w:tr>
      <w:tr>
        <w:trPr>
          <w:cantSplit/>
        </w:trPr>
        <w:tc>
          <w:tcPr>
            <w:tcW w:type="pct" w:w="45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val="false"/>
                <w:bCs w:val="false"/>
                <w:sz w:val="19"/>
                <w:szCs w:val="19"/>
              </w:rPr>
              <w:t xml:space="preserve">2</w:t>
            </w:r>
          </w:p>
        </w:tc>
        <w:tc>
          <w:tcPr>
            <w:tcW w:type="pct" w:w="8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Internal</w:t>
            </w:r>
          </w:p>
        </w:tc>
        <w:tc>
          <w:tcPr>
            <w:tcW w:type="pct" w:w="2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General process descriptions, internal slides with no personal or customer data, drafts without confidential content</w:t>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Allowed in green tools, in yellow tools only as their conditions state</w:t>
            </w:r>
          </w:p>
        </w:tc>
      </w:tr>
      <w:tr>
        <w:trPr>
          <w:cantSplit/>
        </w:trPr>
        <w:tc>
          <w:tcPr>
            <w:tcW w:type="pct" w:w="450"/>
            <w:tcBorders>
              <w:top w:val="single" w:color="D1D5DB" w:sz="4"/>
              <w:left w:val="single" w:color="D1D5DB" w:sz="4"/>
              <w:bottom w:val="single" w:color="D1D5DB" w:sz="4"/>
              <w:right w:val="single" w:color="D1D5DB" w:sz="4"/>
            </w:tcBorders>
            <w:shd w:fill="FEF3C7" w:color="auto" w:val="clear"/>
            <w:tcMar>
              <w:top w:type="dxa" w:w="60"/>
              <w:left w:type="dxa" w:w="90"/>
              <w:bottom w:type="dxa" w:w="60"/>
              <w:right w:type="dxa" w:w="90"/>
            </w:tcMar>
          </w:tcPr>
          <w:p>
            <w:r>
              <w:rPr>
                <w:b w:val="false"/>
                <w:bCs w:val="false"/>
                <w:sz w:val="19"/>
                <w:szCs w:val="19"/>
              </w:rPr>
              <w:t xml:space="preserve">3</w:t>
            </w:r>
          </w:p>
        </w:tc>
        <w:tc>
          <w:tcPr>
            <w:tcW w:type="pct" w:w="8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Confidential</w:t>
            </w:r>
          </w:p>
        </w:tc>
        <w:tc>
          <w:tcPr>
            <w:tcW w:type="pct" w:w="2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Personal data of customers, employees and applicants, contracts, quotes, unpublished financial figures</w:t>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Only in tools Annex A expressly approves for class 3 (with a DPA, among other things)</w:t>
            </w:r>
          </w:p>
        </w:tc>
      </w:tr>
      <w:tr>
        <w:trPr>
          <w:cantSplit/>
        </w:trPr>
        <w:tc>
          <w:tcPr>
            <w:tcW w:type="pct" w:w="450"/>
            <w:tcBorders>
              <w:top w:val="single" w:color="D1D5DB" w:sz="4"/>
              <w:left w:val="single" w:color="D1D5DB" w:sz="4"/>
              <w:bottom w:val="single" w:color="D1D5DB" w:sz="4"/>
              <w:right w:val="single" w:color="D1D5DB" w:sz="4"/>
            </w:tcBorders>
            <w:shd w:fill="FEE2E2" w:color="auto" w:val="clear"/>
            <w:tcMar>
              <w:top w:type="dxa" w:w="60"/>
              <w:left w:type="dxa" w:w="90"/>
              <w:bottom w:type="dxa" w:w="60"/>
              <w:right w:type="dxa" w:w="90"/>
            </w:tcMar>
          </w:tcPr>
          <w:p>
            <w:r>
              <w:rPr>
                <w:b w:val="false"/>
                <w:bCs w:val="false"/>
                <w:sz w:val="19"/>
                <w:szCs w:val="19"/>
              </w:rPr>
              <w:t xml:space="preserve">4</w:t>
            </w:r>
          </w:p>
        </w:tc>
        <w:tc>
          <w:tcPr>
            <w:tcW w:type="pct" w:w="8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Strictly confidential</w:t>
            </w:r>
          </w:p>
        </w:tc>
        <w:tc>
          <w:tcPr>
            <w:tcW w:type="pct" w:w="2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Passwords, credentials, API keys, trade secrets, health data, personnel files, documents from pending litigation</w:t>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Never enter into AI tools</w:t>
            </w:r>
          </w:p>
        </w:tc>
      </w:tr>
    </w:tbl>
    <w:p>
      <w:pPr>
        <w:pStyle w:val="Heading1"/>
        <w:pageBreakBefore/>
      </w:pPr>
      <w:r>
        <w:t xml:space="preserve">Annex C – Acknowledgement</w:t>
      </w:r>
    </w:p>
    <w:p>
      <w:pPr>
        <w:spacing w:after="160"/>
      </w:pPr>
      <w:r>
        <w:rPr>
          <w:sz w:val="21"/>
          <w:szCs w:val="21"/>
        </w:rPr>
        <w:t xml:space="preserve">I have received and read the AI acceptable use policy of [company], version [x.y], and attended the briefing. I can direct questions to [name/role, email].</w:t>
      </w:r>
    </w:p>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634"/>
        <w:gridCol w:w="2069"/>
        <w:gridCol w:w="1505"/>
        <w:gridCol w:w="1129"/>
        <w:gridCol w:w="2069"/>
      </w:tblGrid>
      <w:tr>
        <w:trPr>
          <w:tblHeader/>
        </w:trPr>
        <w:tc>
          <w:tcPr>
            <w:tcW w:type="pct" w:w="14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Name</w:t>
            </w:r>
          </w:p>
        </w:tc>
        <w:tc>
          <w:tcPr>
            <w:tcW w:type="pct" w:w="11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Department</w:t>
            </w:r>
          </w:p>
        </w:tc>
        <w:tc>
          <w:tcPr>
            <w:tcW w:type="pct" w:w="8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Date</w:t>
            </w:r>
          </w:p>
        </w:tc>
        <w:tc>
          <w:tcPr>
            <w:tcW w:type="pct" w:w="6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Version</w:t>
            </w:r>
          </w:p>
        </w:tc>
        <w:tc>
          <w:tcPr>
            <w:tcW w:type="pct" w:w="11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Signature</w:t>
            </w:r>
          </w:p>
        </w:tc>
      </w:tr>
      <w:tr>
        <w:trPr>
          <w:cantSplit/>
        </w:trPr>
        <w:tc>
          <w:tcPr>
            <w:tcW w:type="pct" w:w="1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rPr>
          <w:cantSplit/>
        </w:trPr>
        <w:tc>
          <w:tcPr>
            <w:tcW w:type="pct" w:w="1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sectPr>
      <w:headerReference w:type="default" r:id="rId6"/>
      <w:headerReference w:type="first" r:id="rId7"/>
      <w:footerReference w:type="default" r:id="rId8"/>
      <w:footerReference w:type="first" r:id="rId9"/>
      <w:pgSz w:w="11906" w:h="16838" w:orient="portrait"/>
      <w:pgMar w:top="1300" w:right="1250" w:bottom="1200" w:left="1250" w:header="708" w:footer="708"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B7280"/>
        <w:sz w:val="16"/>
        <w:szCs w:val="16"/>
      </w:rPr>
      <w:t xml:space="preserve">SimpleAct template AI policy · status 4 October 2026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280"/>
        <w:sz w:val="16"/>
        <w:szCs w:val="16"/>
      </w:rPr>
      <w:t xml:space="preserve">AI acceptable use policy · [company] · internal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1"/>
        <w:szCs w:val="21"/>
        <w:lang w:val="en-GB"/>
      </w:rPr>
    </w:rPrDefault>
    <w:pPrDefault>
      <w:pPr>
        <w:spacing w:line="276"/>
      </w:pPr>
    </w:pPrDefault>
  </w:docDefaults>
  <w:style w:type="paragraph" w:styleId="Normal" w:default="1">
    <w:name w:val="Normal"/>
    <w:qFormat/>
  </w:style>
  <w:style w:type="paragraph" w:styleId="Title">
    <w:name w:val="Title"/>
    <w:basedOn w:val="Normal"/>
    <w:next w:val="Normal"/>
    <w:qFormat/>
    <w:pPr>
      <w:spacing w:after="160"/>
    </w:pPr>
    <w:rPr>
      <w:rFonts w:ascii="Calibri" w:cs="Calibri" w:eastAsia="Calibri" w:hAnsi="Calibri"/>
      <w:b/>
      <w:bCs/>
      <w:color w:val="16181D"/>
      <w:sz w:val="36"/>
      <w:szCs w:val="36"/>
    </w:rPr>
  </w:style>
  <w:style w:type="paragraph" w:styleId="Heading1">
    <w:name w:val="Heading 1"/>
    <w:basedOn w:val="Normal"/>
    <w:next w:val="Normal"/>
    <w:qFormat/>
    <w:pPr>
      <w:keepNext/>
      <w:spacing w:after="100" w:before="320"/>
    </w:pPr>
    <w:rPr>
      <w:rFonts w:ascii="Calibri" w:cs="Calibri" w:eastAsia="Calibri" w:hAnsi="Calibri"/>
      <w:b/>
      <w:bCs/>
      <w:color w:val="16181D"/>
      <w:sz w:val="28"/>
      <w:szCs w:val="2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acceptable use policy – template</dc:title>
  <dc:subject>Template AI acceptable use policy for companies with a tool approval list and data classes</dc:subject>
  <dc:creator>SimpleAct</dc:creator>
  <cp:keywords>AI policy, AI acceptable use policy, template, tool approval list, data classes, AI Act, Article 4 AI Act, GDPR, works council</cp:keywords>
  <dc:description>This template is a model and working aid from SimpleAct, not legal advice. No law expressly requires an AI policy; the template refers to rules that individual provisions connect to. Adapt the content and [placeholders] to your company, have the policy checked under employment law before rollout and agree it with the works council or other employee representatives where they exist. Delete the grey italic guidance before approval.</dc:description>
  <cp:lastModifiedBy>SimpleAct</cp:lastModifiedBy>
  <cp:revision>1</cp:revision>
  <dcterms:created xsi:type="dcterms:W3CDTF">2026-10-04T09:18:46.957Z</dcterms:created>
  <dcterms:modified xsi:type="dcterms:W3CDTF">2026-10-04T09:18:46.957Z</dcterms:modified>
  <dc:language>en-GB</dc:language>
</cp:coreProperties>
</file>

<file path=docProps/custom.xml><?xml version="1.0" encoding="utf-8"?>
<Properties xmlns="http://schemas.openxmlformats.org/officeDocument/2006/custom-properties" xmlns:vt="http://schemas.openxmlformats.org/officeDocument/2006/docPropsVTypes"/>
</file>